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DF" w:rsidRPr="002737B6" w:rsidRDefault="004E1ADF" w:rsidP="004E1ADF">
      <w:pPr>
        <w:ind w:left="360"/>
        <w:jc w:val="center"/>
        <w:rPr>
          <w:rFonts w:ascii="Tahoma" w:hAnsi="Tahoma" w:cs="Tahoma"/>
          <w:sz w:val="22"/>
          <w:szCs w:val="22"/>
        </w:rPr>
      </w:pPr>
      <w:r>
        <w:rPr>
          <w:rFonts w:ascii="Tahoma" w:hAnsi="Tahoma" w:cs="Tahoma"/>
          <w:noProof/>
          <w:sz w:val="22"/>
          <w:szCs w:val="22"/>
          <w:lang w:val="en-AU" w:eastAsia="en-AU"/>
        </w:rPr>
        <w:drawing>
          <wp:inline distT="0" distB="0" distL="0" distR="0">
            <wp:extent cx="542925" cy="485775"/>
            <wp:effectExtent l="19050" t="0" r="9525" b="0"/>
            <wp:docPr id="2" name="Picture 2"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1"/>
                    <pic:cNvPicPr>
                      <a:picLocks noChangeAspect="1" noChangeArrowheads="1"/>
                    </pic:cNvPicPr>
                  </pic:nvPicPr>
                  <pic:blipFill>
                    <a:blip r:embed="rId4"/>
                    <a:srcRect/>
                    <a:stretch>
                      <a:fillRect/>
                    </a:stretch>
                  </pic:blipFill>
                  <pic:spPr bwMode="auto">
                    <a:xfrm>
                      <a:off x="0" y="0"/>
                      <a:ext cx="542925" cy="485775"/>
                    </a:xfrm>
                    <a:prstGeom prst="rect">
                      <a:avLst/>
                    </a:prstGeom>
                    <a:noFill/>
                    <a:ln w="9525">
                      <a:noFill/>
                      <a:miter lim="800000"/>
                      <a:headEnd/>
                      <a:tailEnd/>
                    </a:ln>
                  </pic:spPr>
                </pic:pic>
              </a:graphicData>
            </a:graphic>
          </wp:inline>
        </w:drawing>
      </w:r>
    </w:p>
    <w:p w:rsidR="004E1ADF" w:rsidRPr="00766163" w:rsidRDefault="004E1ADF" w:rsidP="004E1ADF">
      <w:pPr>
        <w:jc w:val="center"/>
        <w:rPr>
          <w:rFonts w:ascii="Tahoma" w:hAnsi="Tahoma" w:cs="Tahoma"/>
        </w:rPr>
      </w:pPr>
    </w:p>
    <w:p w:rsidR="004E1ADF" w:rsidRPr="004C5CC0" w:rsidRDefault="004E1ADF" w:rsidP="004E1ADF">
      <w:pPr>
        <w:jc w:val="center"/>
        <w:rPr>
          <w:rFonts w:ascii="Tahoma" w:hAnsi="Tahoma" w:cs="Tahoma"/>
          <w:b/>
        </w:rPr>
      </w:pPr>
      <w:r w:rsidRPr="004C5CC0">
        <w:rPr>
          <w:rFonts w:ascii="Tahoma" w:hAnsi="Tahoma" w:cs="Tahoma"/>
          <w:b/>
        </w:rPr>
        <w:t xml:space="preserve">PROCUREMENT NOTICE </w:t>
      </w:r>
    </w:p>
    <w:p w:rsidR="004E1ADF" w:rsidRPr="002737B6" w:rsidRDefault="004E1ADF" w:rsidP="004E1ADF">
      <w:pPr>
        <w:rPr>
          <w:rFonts w:ascii="Tahoma" w:hAnsi="Tahoma" w:cs="Tahoma"/>
          <w:b/>
          <w:sz w:val="10"/>
        </w:rPr>
      </w:pPr>
    </w:p>
    <w:p w:rsidR="004E1ADF" w:rsidRPr="009E6064" w:rsidRDefault="004E1ADF" w:rsidP="004E1ADF">
      <w:pPr>
        <w:rPr>
          <w:rFonts w:ascii="Tahoma" w:hAnsi="Tahoma" w:cs="Tahoma"/>
          <w:b/>
          <w:sz w:val="14"/>
          <w:szCs w:val="14"/>
        </w:rPr>
      </w:pPr>
    </w:p>
    <w:p w:rsidR="004E1ADF" w:rsidRPr="004C5CC0" w:rsidRDefault="004E1ADF" w:rsidP="004E1ADF">
      <w:pPr>
        <w:jc w:val="center"/>
        <w:rPr>
          <w:rFonts w:ascii="Tahoma" w:hAnsi="Tahoma" w:cs="Tahoma"/>
          <w:b/>
          <w:sz w:val="28"/>
          <w:szCs w:val="28"/>
        </w:rPr>
      </w:pPr>
      <w:r w:rsidRPr="004C5CC0">
        <w:rPr>
          <w:rFonts w:ascii="Tahoma" w:hAnsi="Tahoma" w:cs="Tahoma"/>
          <w:b/>
          <w:sz w:val="28"/>
          <w:szCs w:val="28"/>
        </w:rPr>
        <w:t>STATE PHARMACEUTICALS CORPORATION OF SRI LANKA</w:t>
      </w:r>
    </w:p>
    <w:p w:rsidR="004E1ADF" w:rsidRDefault="004E1ADF" w:rsidP="004E1ADF">
      <w:pPr>
        <w:jc w:val="both"/>
        <w:rPr>
          <w:rFonts w:ascii="Tahoma" w:hAnsi="Tahoma" w:cs="Tahoma"/>
          <w:sz w:val="22"/>
          <w:szCs w:val="22"/>
        </w:rPr>
      </w:pPr>
      <w:r w:rsidRPr="002737B6">
        <w:rPr>
          <w:rFonts w:ascii="Tahoma" w:hAnsi="Tahoma" w:cs="Tahoma"/>
          <w:sz w:val="22"/>
          <w:szCs w:val="22"/>
        </w:rPr>
        <w:t xml:space="preserve"> </w:t>
      </w:r>
    </w:p>
    <w:p w:rsidR="004E1ADF" w:rsidRPr="005D6CFC" w:rsidRDefault="004E1ADF" w:rsidP="004E1ADF">
      <w:pPr>
        <w:rPr>
          <w:rFonts w:ascii="Tahoma" w:hAnsi="Tahoma" w:cs="Tahoma"/>
          <w:sz w:val="21"/>
          <w:szCs w:val="21"/>
        </w:rPr>
      </w:pPr>
    </w:p>
    <w:p w:rsidR="004E1ADF" w:rsidRPr="005D6CFC" w:rsidRDefault="004E1ADF" w:rsidP="004E1ADF">
      <w:pPr>
        <w:pStyle w:val="BodyText"/>
        <w:tabs>
          <w:tab w:val="left" w:pos="8789"/>
        </w:tabs>
        <w:rPr>
          <w:rFonts w:ascii="Tahoma" w:hAnsi="Tahoma" w:cs="Tahoma"/>
          <w:b/>
          <w:bCs/>
          <w:sz w:val="21"/>
          <w:szCs w:val="21"/>
        </w:rPr>
      </w:pPr>
      <w:r w:rsidRPr="00AE04DA">
        <w:rPr>
          <w:rFonts w:ascii="Tahoma" w:hAnsi="Tahoma" w:cs="Tahoma"/>
          <w:sz w:val="21"/>
          <w:szCs w:val="21"/>
        </w:rPr>
        <w:t>The Chairman, Procurement Committee of</w:t>
      </w:r>
      <w:r w:rsidRPr="005D6CFC">
        <w:rPr>
          <w:rFonts w:ascii="Tahoma" w:hAnsi="Tahoma" w:cs="Tahoma"/>
          <w:sz w:val="21"/>
          <w:szCs w:val="21"/>
        </w:rPr>
        <w:t xml:space="preserve"> </w:t>
      </w:r>
      <w:r>
        <w:rPr>
          <w:rFonts w:ascii="Tahoma" w:hAnsi="Tahoma" w:cs="Tahoma"/>
          <w:sz w:val="21"/>
          <w:szCs w:val="21"/>
        </w:rPr>
        <w:t>t</w:t>
      </w:r>
      <w:r w:rsidRPr="005D6CFC">
        <w:rPr>
          <w:rFonts w:ascii="Tahoma" w:hAnsi="Tahoma" w:cs="Tahoma"/>
          <w:sz w:val="21"/>
          <w:szCs w:val="21"/>
        </w:rPr>
        <w:t xml:space="preserve">he State Pharmaceuticals Corporation of Sri Lanka, Colombo 01 invites </w:t>
      </w:r>
      <w:r>
        <w:rPr>
          <w:rFonts w:ascii="Tahoma" w:hAnsi="Tahoma" w:cs="Tahoma"/>
          <w:sz w:val="21"/>
          <w:szCs w:val="21"/>
        </w:rPr>
        <w:t xml:space="preserve">sealed </w:t>
      </w:r>
      <w:r w:rsidRPr="005D6CFC">
        <w:rPr>
          <w:rFonts w:ascii="Tahoma" w:hAnsi="Tahoma" w:cs="Tahoma"/>
          <w:sz w:val="21"/>
          <w:szCs w:val="21"/>
        </w:rPr>
        <w:t xml:space="preserve">quotations from registered and previous sources for following items and </w:t>
      </w:r>
      <w:r>
        <w:rPr>
          <w:rFonts w:ascii="Tahoma" w:hAnsi="Tahoma" w:cs="Tahoma"/>
          <w:sz w:val="21"/>
          <w:szCs w:val="21"/>
        </w:rPr>
        <w:t>bids</w:t>
      </w:r>
      <w:r w:rsidRPr="005D6CFC">
        <w:rPr>
          <w:rFonts w:ascii="Tahoma" w:hAnsi="Tahoma" w:cs="Tahoma"/>
          <w:sz w:val="21"/>
          <w:szCs w:val="21"/>
        </w:rPr>
        <w:t xml:space="preserve"> will be closed at </w:t>
      </w:r>
      <w:r>
        <w:rPr>
          <w:rFonts w:ascii="Tahoma" w:hAnsi="Tahoma" w:cs="Tahoma"/>
          <w:sz w:val="21"/>
          <w:szCs w:val="21"/>
        </w:rPr>
        <w:t xml:space="preserve">the respective times on the </w:t>
      </w:r>
      <w:r w:rsidRPr="005D6CFC">
        <w:rPr>
          <w:rFonts w:ascii="Tahoma" w:hAnsi="Tahoma" w:cs="Tahoma"/>
          <w:sz w:val="21"/>
          <w:szCs w:val="21"/>
        </w:rPr>
        <w:t>dates given below</w:t>
      </w:r>
      <w:r>
        <w:rPr>
          <w:rFonts w:ascii="Tahoma" w:hAnsi="Tahoma" w:cs="Tahoma"/>
          <w:sz w:val="21"/>
          <w:szCs w:val="21"/>
        </w:rPr>
        <w:t xml:space="preserve"> and will be opened immediately thereafter</w:t>
      </w:r>
      <w:r>
        <w:rPr>
          <w:rFonts w:ascii="Tahoma" w:hAnsi="Tahoma" w:cs="Tahoma"/>
          <w:bCs/>
          <w:sz w:val="21"/>
          <w:szCs w:val="21"/>
        </w:rPr>
        <w:t xml:space="preserve">.  </w:t>
      </w:r>
      <w:r w:rsidRPr="005D6CFC">
        <w:rPr>
          <w:rFonts w:ascii="Tahoma" w:hAnsi="Tahoma" w:cs="Tahoma"/>
          <w:b/>
          <w:bCs/>
          <w:sz w:val="21"/>
          <w:szCs w:val="21"/>
        </w:rPr>
        <w:t>(E.</w:t>
      </w:r>
      <w:r>
        <w:rPr>
          <w:rFonts w:ascii="Tahoma" w:hAnsi="Tahoma" w:cs="Tahoma"/>
          <w:b/>
          <w:bCs/>
          <w:sz w:val="21"/>
          <w:szCs w:val="21"/>
        </w:rPr>
        <w:t xml:space="preserve"> </w:t>
      </w:r>
      <w:r w:rsidRPr="005D6CFC">
        <w:rPr>
          <w:rFonts w:ascii="Tahoma" w:hAnsi="Tahoma" w:cs="Tahoma"/>
          <w:b/>
          <w:bCs/>
          <w:sz w:val="21"/>
          <w:szCs w:val="21"/>
        </w:rPr>
        <w:t>mail /Fax offers as well as FOB offers are not acceptable)</w:t>
      </w:r>
    </w:p>
    <w:p w:rsidR="004E1ADF" w:rsidRDefault="004E1ADF" w:rsidP="004E1ADF">
      <w:pPr>
        <w:jc w:val="both"/>
        <w:rPr>
          <w:rFonts w:ascii="Tahoma" w:hAnsi="Tahoma" w:cs="Tahoma"/>
          <w:sz w:val="22"/>
          <w:szCs w:val="22"/>
        </w:rPr>
      </w:pPr>
    </w:p>
    <w:p w:rsidR="004E1ADF" w:rsidRPr="00471E2E" w:rsidRDefault="004E1ADF" w:rsidP="004E1ADF">
      <w:pPr>
        <w:jc w:val="both"/>
        <w:rPr>
          <w:rFonts w:ascii="Tahoma" w:hAnsi="Tahoma" w:cs="Tahoma"/>
          <w:sz w:val="22"/>
          <w:szCs w:val="22"/>
        </w:rPr>
      </w:pPr>
      <w:r w:rsidRPr="00471E2E">
        <w:rPr>
          <w:rFonts w:ascii="Tahoma" w:hAnsi="Tahoma" w:cs="Tahoma"/>
          <w:sz w:val="22"/>
          <w:szCs w:val="22"/>
        </w:rPr>
        <w:t xml:space="preserve">Sealed Bids may be sent by post under registered cover or may be personally deposited in the box available for this purpose at Internal Audit Department in the mezzanine floor of the State Pharmaceuticals Corporation at No. 75, Sir Baron </w:t>
      </w:r>
      <w:proofErr w:type="spellStart"/>
      <w:r w:rsidRPr="00471E2E">
        <w:rPr>
          <w:rFonts w:ascii="Tahoma" w:hAnsi="Tahoma" w:cs="Tahoma"/>
          <w:sz w:val="22"/>
          <w:szCs w:val="22"/>
        </w:rPr>
        <w:t>Jayatillake</w:t>
      </w:r>
      <w:proofErr w:type="spellEnd"/>
      <w:r w:rsidRPr="00471E2E">
        <w:rPr>
          <w:rFonts w:ascii="Tahoma" w:hAnsi="Tahoma" w:cs="Tahoma"/>
          <w:sz w:val="22"/>
          <w:szCs w:val="22"/>
        </w:rPr>
        <w:t xml:space="preserve"> Mawatha, Colombo 1, Sri Lanka.</w:t>
      </w:r>
    </w:p>
    <w:p w:rsidR="004E1ADF" w:rsidRPr="005D6CFC" w:rsidRDefault="004E1ADF" w:rsidP="004E1ADF">
      <w:pPr>
        <w:pStyle w:val="BodyText"/>
        <w:rPr>
          <w:rFonts w:ascii="Tahoma" w:hAnsi="Tahoma" w:cs="Tahoma"/>
          <w:sz w:val="21"/>
          <w:szCs w:val="21"/>
        </w:rPr>
      </w:pPr>
    </w:p>
    <w:p w:rsidR="004E1ADF" w:rsidRDefault="004E1ADF" w:rsidP="004E1ADF">
      <w:pPr>
        <w:pStyle w:val="BodyText2"/>
        <w:rPr>
          <w:rFonts w:ascii="Tahoma" w:hAnsi="Tahoma" w:cs="Tahoma"/>
          <w:szCs w:val="22"/>
        </w:rPr>
      </w:pPr>
      <w:r w:rsidRPr="00471E2E">
        <w:rPr>
          <w:rFonts w:ascii="Tahoma" w:hAnsi="Tahoma" w:cs="Tahoma"/>
          <w:szCs w:val="22"/>
        </w:rPr>
        <w:t xml:space="preserve">Bidders or their </w:t>
      </w:r>
      <w:proofErr w:type="spellStart"/>
      <w:r w:rsidRPr="00471E2E">
        <w:rPr>
          <w:rFonts w:ascii="Tahoma" w:hAnsi="Tahoma" w:cs="Tahoma"/>
          <w:szCs w:val="22"/>
        </w:rPr>
        <w:t>authorised</w:t>
      </w:r>
      <w:proofErr w:type="spellEnd"/>
      <w:r w:rsidRPr="00471E2E">
        <w:rPr>
          <w:rFonts w:ascii="Tahoma" w:hAnsi="Tahoma" w:cs="Tahoma"/>
          <w:szCs w:val="22"/>
        </w:rPr>
        <w:t xml:space="preserve"> representatives will be permitted to be present at the time of opening of Bids.</w:t>
      </w:r>
    </w:p>
    <w:p w:rsidR="004E1ADF" w:rsidRPr="005D6CFC" w:rsidRDefault="004E1ADF" w:rsidP="004E1ADF">
      <w:pPr>
        <w:pStyle w:val="BodyText2"/>
        <w:rPr>
          <w:rFonts w:ascii="Tahoma" w:hAnsi="Tahoma" w:cs="Tahoma"/>
          <w:sz w:val="21"/>
          <w:szCs w:val="21"/>
        </w:rPr>
      </w:pPr>
    </w:p>
    <w:p w:rsidR="004E1ADF" w:rsidRPr="00523B9A" w:rsidRDefault="004E1ADF" w:rsidP="004E1ADF">
      <w:pPr>
        <w:pStyle w:val="NoSpacing"/>
        <w:rPr>
          <w:rFonts w:ascii="Tahoma" w:hAnsi="Tahoma" w:cs="Tahoma"/>
          <w:b/>
          <w:sz w:val="20"/>
          <w:szCs w:val="20"/>
        </w:rPr>
      </w:pPr>
      <w:r w:rsidRPr="00523B9A">
        <w:rPr>
          <w:rFonts w:ascii="Tahoma" w:hAnsi="Tahoma" w:cs="Tahoma"/>
          <w:b/>
          <w:sz w:val="20"/>
          <w:szCs w:val="20"/>
        </w:rPr>
        <w:t>LAB ITEMS</w:t>
      </w:r>
    </w:p>
    <w:p w:rsidR="004E1ADF" w:rsidRPr="00523B9A" w:rsidRDefault="004E1ADF" w:rsidP="004E1ADF">
      <w:pPr>
        <w:pStyle w:val="NoSpacing"/>
        <w:rPr>
          <w:rFonts w:asciiTheme="majorHAnsi" w:hAnsiTheme="majorHAnsi"/>
          <w:sz w:val="16"/>
          <w:szCs w:val="16"/>
        </w:rPr>
      </w:pPr>
    </w:p>
    <w:tbl>
      <w:tblPr>
        <w:tblStyle w:val="TableGrid"/>
        <w:tblW w:w="0" w:type="auto"/>
        <w:tblLook w:val="04A0"/>
      </w:tblPr>
      <w:tblGrid>
        <w:gridCol w:w="2314"/>
        <w:gridCol w:w="1400"/>
        <w:gridCol w:w="1340"/>
        <w:gridCol w:w="2807"/>
        <w:gridCol w:w="1381"/>
      </w:tblGrid>
      <w:tr w:rsidR="004E1ADF" w:rsidRPr="009948AA" w:rsidTr="00386E2F">
        <w:tc>
          <w:tcPr>
            <w:tcW w:w="2314" w:type="dxa"/>
          </w:tcPr>
          <w:p w:rsidR="004E1ADF" w:rsidRPr="009948AA" w:rsidRDefault="004E1ADF" w:rsidP="00386E2F">
            <w:pPr>
              <w:pStyle w:val="NoSpacing"/>
              <w:rPr>
                <w:rFonts w:asciiTheme="majorHAnsi" w:hAnsiTheme="majorHAnsi"/>
                <w:b/>
                <w:sz w:val="24"/>
                <w:szCs w:val="24"/>
              </w:rPr>
            </w:pPr>
            <w:r w:rsidRPr="009948AA">
              <w:rPr>
                <w:rFonts w:asciiTheme="majorHAnsi" w:hAnsiTheme="majorHAnsi"/>
                <w:b/>
                <w:sz w:val="24"/>
                <w:szCs w:val="24"/>
              </w:rPr>
              <w:t xml:space="preserve">TENDER NO/BID REFERENCE </w:t>
            </w:r>
          </w:p>
          <w:p w:rsidR="004E1ADF" w:rsidRPr="009948AA" w:rsidRDefault="004E1ADF" w:rsidP="00386E2F">
            <w:pPr>
              <w:pStyle w:val="NoSpacing"/>
              <w:rPr>
                <w:rFonts w:asciiTheme="majorHAnsi" w:hAnsiTheme="majorHAnsi"/>
                <w:b/>
                <w:sz w:val="24"/>
                <w:szCs w:val="24"/>
              </w:rPr>
            </w:pPr>
          </w:p>
        </w:tc>
        <w:tc>
          <w:tcPr>
            <w:tcW w:w="1404" w:type="dxa"/>
          </w:tcPr>
          <w:p w:rsidR="004E1ADF" w:rsidRPr="009948AA" w:rsidRDefault="004E1ADF" w:rsidP="00386E2F">
            <w:pPr>
              <w:pStyle w:val="NoSpacing"/>
              <w:rPr>
                <w:rFonts w:asciiTheme="majorHAnsi" w:hAnsiTheme="majorHAnsi"/>
                <w:b/>
                <w:sz w:val="24"/>
                <w:szCs w:val="24"/>
              </w:rPr>
            </w:pPr>
            <w:r w:rsidRPr="009948AA">
              <w:rPr>
                <w:rFonts w:asciiTheme="majorHAnsi" w:hAnsiTheme="majorHAnsi"/>
                <w:b/>
                <w:sz w:val="24"/>
                <w:szCs w:val="24"/>
              </w:rPr>
              <w:t>CLOSING DATE</w:t>
            </w:r>
          </w:p>
        </w:tc>
        <w:tc>
          <w:tcPr>
            <w:tcW w:w="1350" w:type="dxa"/>
          </w:tcPr>
          <w:p w:rsidR="004E1ADF" w:rsidRPr="009948AA" w:rsidRDefault="004E1ADF" w:rsidP="00386E2F">
            <w:pPr>
              <w:pStyle w:val="NoSpacing"/>
              <w:rPr>
                <w:rFonts w:asciiTheme="majorHAnsi" w:hAnsiTheme="majorHAnsi"/>
                <w:b/>
                <w:sz w:val="24"/>
                <w:szCs w:val="24"/>
              </w:rPr>
            </w:pPr>
            <w:r w:rsidRPr="009948AA">
              <w:rPr>
                <w:rFonts w:asciiTheme="majorHAnsi" w:hAnsiTheme="majorHAnsi"/>
                <w:b/>
                <w:sz w:val="24"/>
                <w:szCs w:val="24"/>
              </w:rPr>
              <w:t>CLOSING TIME</w:t>
            </w:r>
          </w:p>
        </w:tc>
        <w:tc>
          <w:tcPr>
            <w:tcW w:w="3052" w:type="dxa"/>
          </w:tcPr>
          <w:p w:rsidR="004E1ADF" w:rsidRPr="009948AA" w:rsidRDefault="004E1ADF" w:rsidP="00386E2F">
            <w:pPr>
              <w:pStyle w:val="NoSpacing"/>
              <w:rPr>
                <w:rFonts w:asciiTheme="majorHAnsi" w:hAnsiTheme="majorHAnsi"/>
                <w:b/>
                <w:sz w:val="24"/>
                <w:szCs w:val="24"/>
              </w:rPr>
            </w:pPr>
            <w:r w:rsidRPr="009948AA">
              <w:rPr>
                <w:rFonts w:asciiTheme="majorHAnsi" w:hAnsiTheme="majorHAnsi"/>
                <w:b/>
                <w:sz w:val="24"/>
                <w:szCs w:val="24"/>
              </w:rPr>
              <w:t>ITEM</w:t>
            </w:r>
          </w:p>
        </w:tc>
        <w:tc>
          <w:tcPr>
            <w:tcW w:w="1456" w:type="dxa"/>
          </w:tcPr>
          <w:p w:rsidR="004E1ADF" w:rsidRPr="009948AA" w:rsidRDefault="004E1ADF" w:rsidP="00386E2F">
            <w:pPr>
              <w:pStyle w:val="NoSpacing"/>
              <w:rPr>
                <w:rFonts w:asciiTheme="majorHAnsi" w:hAnsiTheme="majorHAnsi"/>
                <w:b/>
                <w:sz w:val="24"/>
                <w:szCs w:val="24"/>
              </w:rPr>
            </w:pPr>
            <w:r w:rsidRPr="009948AA">
              <w:rPr>
                <w:rFonts w:asciiTheme="majorHAnsi" w:hAnsiTheme="majorHAnsi"/>
                <w:b/>
                <w:sz w:val="24"/>
                <w:szCs w:val="24"/>
              </w:rPr>
              <w:t xml:space="preserve">QTY </w:t>
            </w:r>
          </w:p>
        </w:tc>
      </w:tr>
      <w:tr w:rsidR="004E1ADF" w:rsidTr="00386E2F">
        <w:tc>
          <w:tcPr>
            <w:tcW w:w="2314" w:type="dxa"/>
          </w:tcPr>
          <w:p w:rsidR="004E1ADF" w:rsidRDefault="004E1ADF" w:rsidP="00386E2F">
            <w:pPr>
              <w:pStyle w:val="NoSpacing"/>
              <w:rPr>
                <w:rFonts w:asciiTheme="majorHAnsi" w:hAnsiTheme="majorHAnsi"/>
                <w:sz w:val="24"/>
                <w:szCs w:val="24"/>
              </w:rPr>
            </w:pPr>
            <w:r>
              <w:rPr>
                <w:rFonts w:asciiTheme="majorHAnsi" w:hAnsiTheme="majorHAnsi"/>
                <w:sz w:val="24"/>
                <w:szCs w:val="24"/>
              </w:rPr>
              <w:t>DHS/RL/66CPW/15</w:t>
            </w:r>
          </w:p>
          <w:p w:rsidR="004E1ADF" w:rsidRDefault="004E1ADF" w:rsidP="00386E2F">
            <w:pPr>
              <w:pStyle w:val="NoSpacing"/>
              <w:rPr>
                <w:rFonts w:asciiTheme="majorHAnsi" w:hAnsiTheme="majorHAnsi"/>
                <w:sz w:val="24"/>
                <w:szCs w:val="24"/>
              </w:rPr>
            </w:pPr>
          </w:p>
        </w:tc>
        <w:tc>
          <w:tcPr>
            <w:tcW w:w="1404" w:type="dxa"/>
          </w:tcPr>
          <w:p w:rsidR="004E1ADF" w:rsidRDefault="004E1ADF" w:rsidP="00386E2F">
            <w:pPr>
              <w:pStyle w:val="NoSpacing"/>
              <w:rPr>
                <w:rFonts w:asciiTheme="majorHAnsi" w:hAnsiTheme="majorHAnsi"/>
                <w:sz w:val="24"/>
                <w:szCs w:val="24"/>
              </w:rPr>
            </w:pPr>
            <w:r>
              <w:rPr>
                <w:rFonts w:asciiTheme="majorHAnsi" w:hAnsiTheme="majorHAnsi"/>
                <w:sz w:val="24"/>
                <w:szCs w:val="24"/>
              </w:rPr>
              <w:t>23.04.2015</w:t>
            </w:r>
          </w:p>
        </w:tc>
        <w:tc>
          <w:tcPr>
            <w:tcW w:w="1350" w:type="dxa"/>
          </w:tcPr>
          <w:p w:rsidR="004E1ADF" w:rsidRDefault="004E1ADF" w:rsidP="00386E2F">
            <w:pPr>
              <w:pStyle w:val="NoSpacing"/>
              <w:rPr>
                <w:rFonts w:asciiTheme="majorHAnsi" w:hAnsiTheme="majorHAnsi"/>
                <w:sz w:val="24"/>
                <w:szCs w:val="24"/>
              </w:rPr>
            </w:pPr>
            <w:r>
              <w:rPr>
                <w:rFonts w:asciiTheme="majorHAnsi" w:hAnsiTheme="majorHAnsi"/>
                <w:sz w:val="24"/>
                <w:szCs w:val="24"/>
              </w:rPr>
              <w:t>02.30.P.M.</w:t>
            </w:r>
          </w:p>
        </w:tc>
        <w:tc>
          <w:tcPr>
            <w:tcW w:w="3052" w:type="dxa"/>
          </w:tcPr>
          <w:p w:rsidR="004E1ADF" w:rsidRDefault="004E1ADF" w:rsidP="00386E2F">
            <w:pPr>
              <w:pStyle w:val="NoSpacing"/>
              <w:rPr>
                <w:rFonts w:asciiTheme="majorHAnsi" w:hAnsiTheme="majorHAnsi"/>
                <w:sz w:val="24"/>
                <w:szCs w:val="24"/>
              </w:rPr>
            </w:pPr>
            <w:r>
              <w:rPr>
                <w:rFonts w:asciiTheme="majorHAnsi" w:hAnsiTheme="majorHAnsi"/>
                <w:sz w:val="24"/>
                <w:szCs w:val="24"/>
              </w:rPr>
              <w:t xml:space="preserve">Non Ionic contrast media for excretion </w:t>
            </w:r>
            <w:proofErr w:type="spellStart"/>
            <w:r>
              <w:rPr>
                <w:rFonts w:asciiTheme="majorHAnsi" w:hAnsiTheme="majorHAnsi"/>
                <w:sz w:val="24"/>
                <w:szCs w:val="24"/>
              </w:rPr>
              <w:t>Urography</w:t>
            </w:r>
            <w:proofErr w:type="spellEnd"/>
            <w:r>
              <w:rPr>
                <w:rFonts w:asciiTheme="majorHAnsi" w:hAnsiTheme="majorHAnsi"/>
                <w:sz w:val="24"/>
                <w:szCs w:val="24"/>
              </w:rPr>
              <w:t xml:space="preserve"> (I.V.P.) in 40 -50ml bottle.</w:t>
            </w:r>
          </w:p>
          <w:p w:rsidR="004E1ADF" w:rsidRDefault="004E1ADF" w:rsidP="00386E2F">
            <w:pPr>
              <w:pStyle w:val="NoSpacing"/>
              <w:rPr>
                <w:rFonts w:asciiTheme="majorHAnsi" w:hAnsiTheme="majorHAnsi"/>
                <w:sz w:val="24"/>
                <w:szCs w:val="24"/>
              </w:rPr>
            </w:pPr>
          </w:p>
        </w:tc>
        <w:tc>
          <w:tcPr>
            <w:tcW w:w="1456" w:type="dxa"/>
          </w:tcPr>
          <w:p w:rsidR="004E1ADF" w:rsidRDefault="004E1ADF" w:rsidP="00386E2F">
            <w:pPr>
              <w:pStyle w:val="NoSpacing"/>
              <w:rPr>
                <w:rFonts w:asciiTheme="majorHAnsi" w:hAnsiTheme="majorHAnsi"/>
                <w:sz w:val="24"/>
                <w:szCs w:val="24"/>
              </w:rPr>
            </w:pPr>
            <w:r>
              <w:rPr>
                <w:rFonts w:asciiTheme="majorHAnsi" w:hAnsiTheme="majorHAnsi"/>
                <w:sz w:val="24"/>
                <w:szCs w:val="24"/>
              </w:rPr>
              <w:t>60,000 vials</w:t>
            </w:r>
          </w:p>
        </w:tc>
      </w:tr>
    </w:tbl>
    <w:p w:rsidR="004E1ADF" w:rsidRDefault="004E1ADF" w:rsidP="004E1ADF">
      <w:pPr>
        <w:rPr>
          <w:rFonts w:ascii="Tahoma" w:hAnsi="Tahoma" w:cs="Tahoma"/>
          <w:b/>
          <w:sz w:val="20"/>
          <w:szCs w:val="20"/>
        </w:rPr>
      </w:pPr>
    </w:p>
    <w:p w:rsidR="004E1ADF" w:rsidRDefault="004E1ADF" w:rsidP="004E1ADF">
      <w:pPr>
        <w:rPr>
          <w:rFonts w:ascii="Tahoma" w:hAnsi="Tahoma" w:cs="Tahoma"/>
          <w:b/>
          <w:sz w:val="20"/>
          <w:szCs w:val="20"/>
        </w:rPr>
      </w:pPr>
      <w:r>
        <w:rPr>
          <w:rFonts w:ascii="Tahoma" w:hAnsi="Tahoma" w:cs="Tahoma"/>
          <w:b/>
          <w:sz w:val="20"/>
          <w:szCs w:val="20"/>
        </w:rPr>
        <w:t>PHARMACEUTICAL ITEMS</w:t>
      </w:r>
    </w:p>
    <w:tbl>
      <w:tblPr>
        <w:tblW w:w="9852" w:type="dxa"/>
        <w:tblInd w:w="93" w:type="dxa"/>
        <w:tblLook w:val="04A0"/>
      </w:tblPr>
      <w:tblGrid>
        <w:gridCol w:w="2142"/>
        <w:gridCol w:w="1276"/>
        <w:gridCol w:w="1417"/>
        <w:gridCol w:w="3361"/>
        <w:gridCol w:w="1656"/>
      </w:tblGrid>
      <w:tr w:rsidR="004E1ADF" w:rsidRPr="004C11BE" w:rsidTr="00386E2F">
        <w:trPr>
          <w:trHeight w:val="420"/>
        </w:trPr>
        <w:tc>
          <w:tcPr>
            <w:tcW w:w="9852" w:type="dxa"/>
            <w:gridSpan w:val="5"/>
            <w:tcBorders>
              <w:top w:val="nil"/>
              <w:left w:val="nil"/>
              <w:bottom w:val="nil"/>
              <w:right w:val="nil"/>
            </w:tcBorders>
            <w:shd w:val="clear" w:color="auto" w:fill="auto"/>
            <w:noWrap/>
            <w:vAlign w:val="bottom"/>
            <w:hideMark/>
          </w:tcPr>
          <w:p w:rsidR="004E1ADF" w:rsidRPr="004C11BE" w:rsidRDefault="004E1ADF" w:rsidP="00386E2F">
            <w:pPr>
              <w:jc w:val="center"/>
              <w:rPr>
                <w:rFonts w:ascii="Calibri" w:hAnsi="Calibri"/>
                <w:b/>
                <w:bCs/>
                <w:color w:val="000000"/>
                <w:sz w:val="32"/>
                <w:szCs w:val="32"/>
                <w:lang w:val="en-AU" w:eastAsia="en-AU"/>
              </w:rPr>
            </w:pPr>
          </w:p>
        </w:tc>
      </w:tr>
      <w:tr w:rsidR="004E1ADF" w:rsidRPr="004C11BE" w:rsidTr="00386E2F">
        <w:trPr>
          <w:trHeight w:val="80"/>
        </w:trPr>
        <w:tc>
          <w:tcPr>
            <w:tcW w:w="2142" w:type="dxa"/>
            <w:tcBorders>
              <w:top w:val="nil"/>
              <w:left w:val="nil"/>
              <w:bottom w:val="single" w:sz="4" w:space="0" w:color="auto"/>
              <w:right w:val="nil"/>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p>
        </w:tc>
        <w:tc>
          <w:tcPr>
            <w:tcW w:w="1276" w:type="dxa"/>
            <w:tcBorders>
              <w:top w:val="nil"/>
              <w:left w:val="nil"/>
              <w:bottom w:val="single" w:sz="4" w:space="0" w:color="auto"/>
              <w:right w:val="nil"/>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p>
        </w:tc>
        <w:tc>
          <w:tcPr>
            <w:tcW w:w="1417" w:type="dxa"/>
            <w:tcBorders>
              <w:top w:val="nil"/>
              <w:left w:val="nil"/>
              <w:bottom w:val="single" w:sz="4" w:space="0" w:color="auto"/>
              <w:right w:val="nil"/>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p>
        </w:tc>
        <w:tc>
          <w:tcPr>
            <w:tcW w:w="3361" w:type="dxa"/>
            <w:tcBorders>
              <w:top w:val="nil"/>
              <w:left w:val="nil"/>
              <w:bottom w:val="single" w:sz="4" w:space="0" w:color="auto"/>
              <w:right w:val="nil"/>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p>
        </w:tc>
        <w:tc>
          <w:tcPr>
            <w:tcW w:w="1656" w:type="dxa"/>
            <w:tcBorders>
              <w:top w:val="nil"/>
              <w:left w:val="nil"/>
              <w:bottom w:val="single" w:sz="4" w:space="0" w:color="auto"/>
              <w:right w:val="nil"/>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p>
        </w:tc>
      </w:tr>
      <w:tr w:rsidR="004E1ADF" w:rsidRPr="004C11BE" w:rsidTr="00386E2F">
        <w:trPr>
          <w:trHeight w:val="6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b/>
                <w:bCs/>
                <w:color w:val="000000"/>
                <w:sz w:val="22"/>
                <w:szCs w:val="22"/>
                <w:lang w:val="en-AU" w:eastAsia="en-AU"/>
              </w:rPr>
            </w:pPr>
            <w:r w:rsidRPr="004C11BE">
              <w:rPr>
                <w:rFonts w:ascii="Calibri" w:hAnsi="Calibri"/>
                <w:b/>
                <w:bCs/>
                <w:color w:val="000000"/>
                <w:sz w:val="22"/>
                <w:szCs w:val="22"/>
                <w:lang w:val="en-AU" w:eastAsia="en-AU"/>
              </w:rPr>
              <w:t>TENDER NO/BID REFERENCE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b/>
                <w:bCs/>
                <w:color w:val="000000"/>
                <w:sz w:val="22"/>
                <w:szCs w:val="22"/>
                <w:lang w:val="en-AU" w:eastAsia="en-AU"/>
              </w:rPr>
            </w:pPr>
            <w:r w:rsidRPr="004C11BE">
              <w:rPr>
                <w:rFonts w:ascii="Calibri" w:hAnsi="Calibri"/>
                <w:b/>
                <w:bCs/>
                <w:color w:val="000000"/>
                <w:sz w:val="22"/>
                <w:szCs w:val="22"/>
                <w:lang w:val="en-AU" w:eastAsia="en-AU"/>
              </w:rPr>
              <w:t>CLOSING DATE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b/>
                <w:bCs/>
                <w:color w:val="000000"/>
                <w:sz w:val="22"/>
                <w:szCs w:val="22"/>
                <w:lang w:val="en-AU" w:eastAsia="en-AU"/>
              </w:rPr>
            </w:pPr>
            <w:r w:rsidRPr="004C11BE">
              <w:rPr>
                <w:rFonts w:ascii="Calibri" w:hAnsi="Calibri"/>
                <w:b/>
                <w:bCs/>
                <w:color w:val="000000"/>
                <w:sz w:val="22"/>
                <w:szCs w:val="22"/>
                <w:lang w:val="en-AU" w:eastAsia="en-AU"/>
              </w:rPr>
              <w:t>CLOSING TIME</w:t>
            </w:r>
          </w:p>
        </w:tc>
        <w:tc>
          <w:tcPr>
            <w:tcW w:w="3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b/>
                <w:bCs/>
                <w:color w:val="000000"/>
                <w:sz w:val="22"/>
                <w:szCs w:val="22"/>
                <w:lang w:val="en-AU" w:eastAsia="en-AU"/>
              </w:rPr>
            </w:pPr>
            <w:r w:rsidRPr="004C11BE">
              <w:rPr>
                <w:rFonts w:ascii="Calibri" w:hAnsi="Calibri"/>
                <w:b/>
                <w:bCs/>
                <w:color w:val="000000"/>
                <w:sz w:val="22"/>
                <w:szCs w:val="22"/>
                <w:lang w:val="en-AU" w:eastAsia="en-AU"/>
              </w:rPr>
              <w:t>ITEM</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b/>
                <w:bCs/>
                <w:color w:val="000000"/>
                <w:sz w:val="22"/>
                <w:szCs w:val="22"/>
                <w:lang w:val="en-AU" w:eastAsia="en-AU"/>
              </w:rPr>
            </w:pPr>
            <w:r w:rsidRPr="004C11BE">
              <w:rPr>
                <w:rFonts w:ascii="Calibri" w:hAnsi="Calibri"/>
                <w:b/>
                <w:bCs/>
                <w:color w:val="000000"/>
                <w:sz w:val="22"/>
                <w:szCs w:val="22"/>
                <w:lang w:val="en-AU" w:eastAsia="en-AU"/>
              </w:rPr>
              <w:t>QUANTITY</w:t>
            </w:r>
          </w:p>
        </w:tc>
      </w:tr>
      <w:tr w:rsidR="004E1ADF" w:rsidRPr="004C11BE" w:rsidTr="00386E2F">
        <w:trPr>
          <w:trHeight w:val="6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DHS/RP/151/2015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09.04.2015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3.00pm</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 xml:space="preserve">00304001 - Sodium </w:t>
            </w:r>
            <w:proofErr w:type="spellStart"/>
            <w:r w:rsidRPr="004C11BE">
              <w:rPr>
                <w:rFonts w:ascii="Calibri" w:hAnsi="Calibri"/>
                <w:color w:val="000000"/>
                <w:sz w:val="22"/>
                <w:szCs w:val="22"/>
                <w:lang w:val="en-AU" w:eastAsia="en-AU"/>
              </w:rPr>
              <w:t>Valproate</w:t>
            </w:r>
            <w:proofErr w:type="spellEnd"/>
            <w:r w:rsidRPr="004C11BE">
              <w:rPr>
                <w:rFonts w:ascii="Calibri" w:hAnsi="Calibri"/>
                <w:color w:val="000000"/>
                <w:sz w:val="22"/>
                <w:szCs w:val="22"/>
                <w:lang w:val="en-AU" w:eastAsia="en-AU"/>
              </w:rPr>
              <w:t xml:space="preserve"> Tablets BP/USP 100mg</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2,500,000 tablets</w:t>
            </w:r>
          </w:p>
        </w:tc>
      </w:tr>
      <w:tr w:rsidR="004E1ADF" w:rsidRPr="004C11BE" w:rsidTr="00386E2F">
        <w:trPr>
          <w:trHeight w:val="6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DHS/RP/152/2015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27.03.2015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3.00pm</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ADF" w:rsidRDefault="004E1ADF" w:rsidP="00386E2F">
            <w:pPr>
              <w:rPr>
                <w:rFonts w:ascii="Calibri" w:hAnsi="Calibri"/>
                <w:color w:val="000000"/>
                <w:sz w:val="22"/>
                <w:szCs w:val="22"/>
                <w:lang w:val="en-AU" w:eastAsia="en-AU"/>
              </w:rPr>
            </w:pPr>
          </w:p>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 xml:space="preserve">00203001 - </w:t>
            </w:r>
            <w:proofErr w:type="spellStart"/>
            <w:r w:rsidRPr="004C11BE">
              <w:rPr>
                <w:rFonts w:ascii="Calibri" w:hAnsi="Calibri"/>
                <w:color w:val="000000"/>
                <w:sz w:val="22"/>
                <w:szCs w:val="22"/>
                <w:lang w:val="en-AU" w:eastAsia="en-AU"/>
              </w:rPr>
              <w:t>Glyceryl</w:t>
            </w:r>
            <w:proofErr w:type="spellEnd"/>
            <w:r w:rsidRPr="004C11BE">
              <w:rPr>
                <w:rFonts w:ascii="Calibri" w:hAnsi="Calibri"/>
                <w:color w:val="000000"/>
                <w:sz w:val="22"/>
                <w:szCs w:val="22"/>
                <w:lang w:val="en-AU" w:eastAsia="en-AU"/>
              </w:rPr>
              <w:t xml:space="preserve"> Trinitrate Tablets 0.5mg</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2,000,000 tablets</w:t>
            </w:r>
          </w:p>
        </w:tc>
      </w:tr>
      <w:tr w:rsidR="004E1ADF" w:rsidRPr="004C11BE" w:rsidTr="00386E2F">
        <w:trPr>
          <w:trHeight w:val="6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DHS/RP/153/2015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31.03.2015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3.00pm</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ADF" w:rsidRDefault="004E1ADF" w:rsidP="00386E2F">
            <w:pPr>
              <w:rPr>
                <w:rFonts w:ascii="Calibri" w:hAnsi="Calibri"/>
                <w:color w:val="000000"/>
                <w:sz w:val="22"/>
                <w:szCs w:val="22"/>
                <w:lang w:val="en-AU" w:eastAsia="en-AU"/>
              </w:rPr>
            </w:pPr>
          </w:p>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00401003 - Sodium Chloride IV Infusion BP/USP 0.9% w/v, 500ml</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2,000,000 tablets</w:t>
            </w:r>
          </w:p>
        </w:tc>
      </w:tr>
      <w:tr w:rsidR="004E1ADF" w:rsidRPr="004C11BE" w:rsidTr="00386E2F">
        <w:trPr>
          <w:trHeight w:val="6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DHS/RP/154/2015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21.04.2015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3.00pm</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ADF" w:rsidRDefault="004E1ADF" w:rsidP="00386E2F">
            <w:pPr>
              <w:rPr>
                <w:rFonts w:ascii="Calibri" w:hAnsi="Calibri"/>
                <w:color w:val="000000"/>
                <w:sz w:val="22"/>
                <w:szCs w:val="22"/>
                <w:lang w:val="en-AU" w:eastAsia="en-AU"/>
              </w:rPr>
            </w:pPr>
          </w:p>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00400901 - Sodium Bicarbonate Tablets 600mg</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1,500,000 tablets</w:t>
            </w:r>
          </w:p>
        </w:tc>
      </w:tr>
      <w:tr w:rsidR="004E1ADF" w:rsidRPr="004C11BE" w:rsidTr="00386E2F">
        <w:trPr>
          <w:trHeight w:val="6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DHS/RP/155/2015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21.04.2015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3.00pm</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ADF" w:rsidRDefault="004E1ADF" w:rsidP="00386E2F">
            <w:pPr>
              <w:rPr>
                <w:rFonts w:ascii="Calibri" w:hAnsi="Calibri"/>
                <w:color w:val="000000"/>
                <w:sz w:val="22"/>
                <w:szCs w:val="22"/>
                <w:lang w:val="en-AU" w:eastAsia="en-AU"/>
              </w:rPr>
            </w:pPr>
          </w:p>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 xml:space="preserve">00102101 / </w:t>
            </w:r>
            <w:proofErr w:type="spellStart"/>
            <w:r w:rsidRPr="004C11BE">
              <w:rPr>
                <w:rFonts w:ascii="Calibri" w:hAnsi="Calibri"/>
                <w:color w:val="000000"/>
                <w:sz w:val="22"/>
                <w:szCs w:val="22"/>
                <w:lang w:val="en-AU" w:eastAsia="en-AU"/>
              </w:rPr>
              <w:t>Meropenem</w:t>
            </w:r>
            <w:proofErr w:type="spellEnd"/>
            <w:r w:rsidRPr="004C11BE">
              <w:rPr>
                <w:rFonts w:ascii="Calibri" w:hAnsi="Calibri"/>
                <w:color w:val="000000"/>
                <w:sz w:val="22"/>
                <w:szCs w:val="22"/>
                <w:lang w:val="en-AU" w:eastAsia="en-AU"/>
              </w:rPr>
              <w:t xml:space="preserve"> Injection </w:t>
            </w:r>
            <w:r w:rsidRPr="004C11BE">
              <w:rPr>
                <w:rFonts w:ascii="Calibri" w:hAnsi="Calibri"/>
                <w:color w:val="000000"/>
                <w:sz w:val="22"/>
                <w:szCs w:val="22"/>
                <w:lang w:val="en-AU" w:eastAsia="en-AU"/>
              </w:rPr>
              <w:lastRenderedPageBreak/>
              <w:t>500mg vial</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lastRenderedPageBreak/>
              <w:t>100,000 vials</w:t>
            </w:r>
          </w:p>
        </w:tc>
      </w:tr>
      <w:tr w:rsidR="004E1ADF" w:rsidRPr="004C11BE" w:rsidTr="00386E2F">
        <w:trPr>
          <w:trHeight w:val="6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lastRenderedPageBreak/>
              <w:t>DHS/RP/156/2015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02.04.2015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3.00pm</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ADF" w:rsidRDefault="004E1ADF" w:rsidP="00386E2F">
            <w:pPr>
              <w:rPr>
                <w:rFonts w:ascii="Calibri" w:hAnsi="Calibri"/>
                <w:color w:val="000000"/>
                <w:sz w:val="22"/>
                <w:szCs w:val="22"/>
                <w:lang w:val="en-AU" w:eastAsia="en-AU"/>
              </w:rPr>
            </w:pPr>
          </w:p>
          <w:p w:rsidR="004E1ADF"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 xml:space="preserve">00101101 / </w:t>
            </w:r>
            <w:proofErr w:type="spellStart"/>
            <w:r w:rsidRPr="004C11BE">
              <w:rPr>
                <w:rFonts w:ascii="Calibri" w:hAnsi="Calibri"/>
                <w:color w:val="000000"/>
                <w:sz w:val="22"/>
                <w:szCs w:val="22"/>
                <w:lang w:val="en-AU" w:eastAsia="en-AU"/>
              </w:rPr>
              <w:t>Sulbactam</w:t>
            </w:r>
            <w:proofErr w:type="spellEnd"/>
            <w:r w:rsidRPr="004C11BE">
              <w:rPr>
                <w:rFonts w:ascii="Calibri" w:hAnsi="Calibri"/>
                <w:color w:val="000000"/>
                <w:sz w:val="22"/>
                <w:szCs w:val="22"/>
                <w:lang w:val="en-AU" w:eastAsia="en-AU"/>
              </w:rPr>
              <w:t xml:space="preserve"> sodium and </w:t>
            </w:r>
          </w:p>
          <w:p w:rsidR="004E1ADF" w:rsidRPr="004C11BE" w:rsidRDefault="004E1ADF" w:rsidP="00386E2F">
            <w:pPr>
              <w:rPr>
                <w:rFonts w:ascii="Calibri" w:hAnsi="Calibri"/>
                <w:color w:val="000000"/>
                <w:sz w:val="22"/>
                <w:szCs w:val="22"/>
                <w:lang w:val="en-AU" w:eastAsia="en-AU"/>
              </w:rPr>
            </w:pPr>
            <w:proofErr w:type="spellStart"/>
            <w:r w:rsidRPr="004C11BE">
              <w:rPr>
                <w:rFonts w:ascii="Calibri" w:hAnsi="Calibri"/>
                <w:color w:val="000000"/>
                <w:sz w:val="22"/>
                <w:szCs w:val="22"/>
                <w:lang w:val="en-AU" w:eastAsia="en-AU"/>
              </w:rPr>
              <w:t>cefoperazone</w:t>
            </w:r>
            <w:proofErr w:type="spellEnd"/>
            <w:r w:rsidRPr="004C11BE">
              <w:rPr>
                <w:rFonts w:ascii="Calibri" w:hAnsi="Calibri"/>
                <w:color w:val="000000"/>
                <w:sz w:val="22"/>
                <w:szCs w:val="22"/>
                <w:lang w:val="en-AU" w:eastAsia="en-AU"/>
              </w:rPr>
              <w:t xml:space="preserve"> sodium for injection 1g vial</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DF" w:rsidRPr="004C11BE" w:rsidRDefault="004E1ADF" w:rsidP="00386E2F">
            <w:pPr>
              <w:rPr>
                <w:rFonts w:ascii="Calibri" w:hAnsi="Calibri"/>
                <w:color w:val="000000"/>
                <w:sz w:val="22"/>
                <w:szCs w:val="22"/>
                <w:lang w:val="en-AU" w:eastAsia="en-AU"/>
              </w:rPr>
            </w:pPr>
            <w:r w:rsidRPr="004C11BE">
              <w:rPr>
                <w:rFonts w:ascii="Calibri" w:hAnsi="Calibri"/>
                <w:color w:val="000000"/>
                <w:sz w:val="22"/>
                <w:szCs w:val="22"/>
                <w:lang w:val="en-AU" w:eastAsia="en-AU"/>
              </w:rPr>
              <w:t>10,000 vials</w:t>
            </w:r>
          </w:p>
        </w:tc>
      </w:tr>
    </w:tbl>
    <w:p w:rsidR="004E1ADF" w:rsidRPr="00B63BB6" w:rsidRDefault="004E1ADF" w:rsidP="004E1ADF">
      <w:pPr>
        <w:rPr>
          <w:rFonts w:ascii="Tahoma" w:hAnsi="Tahoma" w:cs="Tahoma"/>
          <w:b/>
          <w:sz w:val="20"/>
          <w:szCs w:val="20"/>
        </w:rPr>
      </w:pPr>
    </w:p>
    <w:p w:rsidR="004E1ADF" w:rsidRDefault="004E1ADF" w:rsidP="004E1ADF">
      <w:pPr>
        <w:jc w:val="both"/>
        <w:rPr>
          <w:rFonts w:ascii="Tahoma" w:hAnsi="Tahoma" w:cs="Tahoma"/>
          <w:sz w:val="21"/>
          <w:szCs w:val="21"/>
        </w:rPr>
      </w:pPr>
    </w:p>
    <w:p w:rsidR="004E1ADF" w:rsidRDefault="004E1ADF" w:rsidP="004E1ADF">
      <w:pPr>
        <w:jc w:val="both"/>
        <w:rPr>
          <w:rFonts w:ascii="Tahoma" w:hAnsi="Tahoma" w:cs="Tahoma"/>
          <w:sz w:val="21"/>
          <w:szCs w:val="21"/>
        </w:rPr>
      </w:pPr>
    </w:p>
    <w:p w:rsidR="004E1ADF" w:rsidRDefault="004E1ADF" w:rsidP="004E1ADF">
      <w:pPr>
        <w:jc w:val="both"/>
        <w:rPr>
          <w:rFonts w:ascii="Tahoma" w:hAnsi="Tahoma" w:cs="Tahoma"/>
          <w:sz w:val="21"/>
          <w:szCs w:val="21"/>
        </w:rPr>
      </w:pPr>
    </w:p>
    <w:p w:rsidR="004E1ADF" w:rsidRDefault="004E1ADF" w:rsidP="004E1ADF">
      <w:pPr>
        <w:jc w:val="both"/>
        <w:rPr>
          <w:rFonts w:ascii="Tahoma" w:hAnsi="Tahoma" w:cs="Tahoma"/>
          <w:sz w:val="21"/>
          <w:szCs w:val="21"/>
        </w:rPr>
      </w:pPr>
    </w:p>
    <w:p w:rsidR="004E1ADF" w:rsidRDefault="004E1ADF" w:rsidP="004E1ADF">
      <w:pPr>
        <w:jc w:val="both"/>
        <w:rPr>
          <w:rFonts w:ascii="Tahoma" w:hAnsi="Tahoma" w:cs="Tahoma"/>
          <w:sz w:val="21"/>
          <w:szCs w:val="21"/>
        </w:rPr>
      </w:pPr>
    </w:p>
    <w:p w:rsidR="004E1ADF" w:rsidRDefault="004E1ADF" w:rsidP="004E1ADF">
      <w:pPr>
        <w:jc w:val="both"/>
        <w:rPr>
          <w:rFonts w:ascii="Tahoma" w:hAnsi="Tahoma" w:cs="Tahoma"/>
          <w:sz w:val="21"/>
          <w:szCs w:val="21"/>
        </w:rPr>
      </w:pPr>
    </w:p>
    <w:p w:rsidR="004E1ADF" w:rsidRDefault="004E1ADF" w:rsidP="004E1ADF">
      <w:pPr>
        <w:jc w:val="both"/>
        <w:rPr>
          <w:rFonts w:ascii="Tahoma" w:hAnsi="Tahoma" w:cs="Tahoma"/>
          <w:sz w:val="21"/>
          <w:szCs w:val="21"/>
        </w:rPr>
      </w:pPr>
    </w:p>
    <w:p w:rsidR="004E1ADF" w:rsidRDefault="004E1ADF" w:rsidP="004E1ADF">
      <w:pPr>
        <w:jc w:val="both"/>
        <w:rPr>
          <w:rFonts w:ascii="Tahoma" w:hAnsi="Tahoma" w:cs="Tahoma"/>
          <w:sz w:val="21"/>
          <w:szCs w:val="21"/>
        </w:rPr>
      </w:pPr>
    </w:p>
    <w:p w:rsidR="004E1ADF" w:rsidRDefault="004E1ADF" w:rsidP="004E1ADF">
      <w:pPr>
        <w:jc w:val="both"/>
        <w:rPr>
          <w:rFonts w:ascii="Tahoma" w:hAnsi="Tahoma" w:cs="Tahoma"/>
          <w:sz w:val="21"/>
          <w:szCs w:val="21"/>
        </w:rPr>
      </w:pPr>
    </w:p>
    <w:p w:rsidR="004E1ADF" w:rsidRDefault="004E1ADF" w:rsidP="004E1ADF">
      <w:pPr>
        <w:jc w:val="both"/>
        <w:rPr>
          <w:rFonts w:ascii="Tahoma" w:hAnsi="Tahoma" w:cs="Tahoma"/>
          <w:sz w:val="21"/>
          <w:szCs w:val="21"/>
        </w:rPr>
      </w:pPr>
    </w:p>
    <w:p w:rsidR="004E1ADF" w:rsidRDefault="004E1ADF" w:rsidP="004E1ADF">
      <w:pPr>
        <w:jc w:val="both"/>
        <w:rPr>
          <w:rFonts w:ascii="Tahoma" w:hAnsi="Tahoma" w:cs="Tahoma"/>
          <w:sz w:val="21"/>
          <w:szCs w:val="21"/>
        </w:rPr>
      </w:pPr>
    </w:p>
    <w:p w:rsidR="004E1ADF" w:rsidRDefault="004E1ADF" w:rsidP="004E1ADF">
      <w:pPr>
        <w:jc w:val="both"/>
        <w:rPr>
          <w:rFonts w:ascii="Tahoma" w:hAnsi="Tahoma" w:cs="Tahoma"/>
          <w:sz w:val="21"/>
          <w:szCs w:val="21"/>
        </w:rPr>
      </w:pPr>
    </w:p>
    <w:p w:rsidR="004E1ADF" w:rsidRDefault="004E1ADF" w:rsidP="004E1ADF">
      <w:pPr>
        <w:jc w:val="both"/>
        <w:rPr>
          <w:rFonts w:ascii="Tahoma" w:hAnsi="Tahoma" w:cs="Tahoma"/>
          <w:sz w:val="21"/>
          <w:szCs w:val="21"/>
        </w:rPr>
      </w:pPr>
      <w:r w:rsidRPr="00AE04DA">
        <w:rPr>
          <w:rFonts w:ascii="Tahoma" w:hAnsi="Tahoma" w:cs="Tahoma"/>
          <w:sz w:val="21"/>
          <w:szCs w:val="21"/>
        </w:rPr>
        <w:t xml:space="preserve">Bids should be prepared as per particulars given in the Bidding Documents available </w:t>
      </w:r>
      <w:r>
        <w:rPr>
          <w:rFonts w:ascii="Tahoma" w:hAnsi="Tahoma" w:cs="Tahoma"/>
          <w:sz w:val="21"/>
          <w:szCs w:val="21"/>
        </w:rPr>
        <w:t>at the Head Office of State Pharmaceuticals Corporation of Sri Lanka,</w:t>
      </w:r>
      <w:r w:rsidRPr="00AE04DA">
        <w:rPr>
          <w:rFonts w:ascii="Tahoma" w:hAnsi="Tahoma" w:cs="Tahoma"/>
          <w:sz w:val="21"/>
          <w:szCs w:val="21"/>
        </w:rPr>
        <w:t xml:space="preserve"> </w:t>
      </w:r>
      <w:r>
        <w:rPr>
          <w:rFonts w:ascii="Tahoma" w:hAnsi="Tahoma" w:cs="Tahoma"/>
          <w:sz w:val="21"/>
          <w:szCs w:val="21"/>
        </w:rPr>
        <w:t>N</w:t>
      </w:r>
      <w:r w:rsidRPr="00AE04DA">
        <w:rPr>
          <w:rFonts w:ascii="Tahoma" w:hAnsi="Tahoma" w:cs="Tahoma"/>
          <w:sz w:val="21"/>
          <w:szCs w:val="21"/>
        </w:rPr>
        <w:t xml:space="preserve">o.75, Sir Baron </w:t>
      </w:r>
      <w:proofErr w:type="spellStart"/>
      <w:r w:rsidRPr="00AE04DA">
        <w:rPr>
          <w:rFonts w:ascii="Tahoma" w:hAnsi="Tahoma" w:cs="Tahoma"/>
          <w:sz w:val="21"/>
          <w:szCs w:val="21"/>
        </w:rPr>
        <w:t>Jayatillake</w:t>
      </w:r>
      <w:proofErr w:type="spellEnd"/>
      <w:r w:rsidRPr="00AE04DA">
        <w:rPr>
          <w:rFonts w:ascii="Tahoma" w:hAnsi="Tahoma" w:cs="Tahoma"/>
          <w:sz w:val="21"/>
          <w:szCs w:val="21"/>
        </w:rPr>
        <w:t xml:space="preserve"> Mawatha, </w:t>
      </w:r>
      <w:proofErr w:type="gramStart"/>
      <w:r w:rsidRPr="00AE04DA">
        <w:rPr>
          <w:rFonts w:ascii="Tahoma" w:hAnsi="Tahoma" w:cs="Tahoma"/>
          <w:sz w:val="21"/>
          <w:szCs w:val="21"/>
        </w:rPr>
        <w:t>Colombo</w:t>
      </w:r>
      <w:proofErr w:type="gramEnd"/>
      <w:r w:rsidRPr="00AE04DA">
        <w:rPr>
          <w:rFonts w:ascii="Tahoma" w:hAnsi="Tahoma" w:cs="Tahoma"/>
          <w:sz w:val="21"/>
          <w:szCs w:val="21"/>
        </w:rPr>
        <w:t xml:space="preserve"> 1. </w:t>
      </w:r>
    </w:p>
    <w:p w:rsidR="004E1ADF" w:rsidRPr="00AE04DA" w:rsidRDefault="004E1ADF" w:rsidP="004E1ADF">
      <w:pPr>
        <w:jc w:val="both"/>
        <w:rPr>
          <w:rFonts w:ascii="Tahoma" w:hAnsi="Tahoma" w:cs="Tahoma"/>
          <w:sz w:val="21"/>
          <w:szCs w:val="21"/>
        </w:rPr>
      </w:pPr>
    </w:p>
    <w:p w:rsidR="004E1ADF" w:rsidRPr="00471E2E" w:rsidRDefault="004E1ADF" w:rsidP="004E1ADF">
      <w:pPr>
        <w:pStyle w:val="ListParagraph"/>
        <w:ind w:left="0"/>
        <w:jc w:val="both"/>
        <w:rPr>
          <w:rFonts w:ascii="Tahoma" w:hAnsi="Tahoma"/>
          <w:sz w:val="22"/>
          <w:szCs w:val="22"/>
        </w:rPr>
      </w:pPr>
      <w:r w:rsidRPr="00AE04DA">
        <w:rPr>
          <w:rFonts w:ascii="Tahoma" w:hAnsi="Tahoma" w:cs="Tahoma"/>
          <w:sz w:val="21"/>
          <w:szCs w:val="21"/>
        </w:rPr>
        <w:t xml:space="preserve">Wherever necessary potential bidder/bidders should get registered in terms of the Public Contract Act No.3 of 1987 before collecting </w:t>
      </w:r>
      <w:r w:rsidRPr="00471E2E">
        <w:rPr>
          <w:rFonts w:ascii="Tahoma" w:hAnsi="Tahoma" w:cs="Tahoma"/>
          <w:sz w:val="22"/>
          <w:szCs w:val="22"/>
        </w:rPr>
        <w:t xml:space="preserve">the Bid Documents and also should get the </w:t>
      </w:r>
      <w:r>
        <w:rPr>
          <w:rFonts w:ascii="Tahoma" w:hAnsi="Tahoma" w:cs="Tahoma"/>
          <w:sz w:val="22"/>
          <w:szCs w:val="22"/>
        </w:rPr>
        <w:t xml:space="preserve">contract registered after the </w:t>
      </w:r>
      <w:r w:rsidRPr="00471E2E">
        <w:rPr>
          <w:rFonts w:ascii="Tahoma" w:hAnsi="Tahoma" w:cs="Tahoma"/>
          <w:sz w:val="22"/>
          <w:szCs w:val="22"/>
        </w:rPr>
        <w:t>award.</w:t>
      </w:r>
      <w:r w:rsidRPr="00471E2E">
        <w:rPr>
          <w:rFonts w:ascii="Tahoma" w:hAnsi="Tahoma"/>
          <w:sz w:val="22"/>
          <w:szCs w:val="22"/>
        </w:rPr>
        <w:t xml:space="preserve"> </w:t>
      </w:r>
    </w:p>
    <w:p w:rsidR="004E1ADF" w:rsidRDefault="004E1ADF" w:rsidP="004E1ADF">
      <w:pPr>
        <w:pStyle w:val="BodyText2"/>
        <w:rPr>
          <w:rFonts w:ascii="Tahoma" w:hAnsi="Tahoma" w:cs="Tahoma"/>
          <w:sz w:val="21"/>
          <w:szCs w:val="21"/>
        </w:rPr>
      </w:pPr>
    </w:p>
    <w:p w:rsidR="004E1ADF" w:rsidRPr="005D6CFC" w:rsidRDefault="004E1ADF" w:rsidP="004E1ADF">
      <w:pPr>
        <w:ind w:right="-180"/>
        <w:rPr>
          <w:rFonts w:ascii="Tahoma" w:hAnsi="Tahoma" w:cs="Tahoma"/>
          <w:bCs/>
          <w:sz w:val="21"/>
          <w:szCs w:val="21"/>
        </w:rPr>
      </w:pPr>
    </w:p>
    <w:p w:rsidR="004E1ADF" w:rsidRPr="005D6CFC" w:rsidRDefault="004E1ADF" w:rsidP="004E1ADF">
      <w:pPr>
        <w:ind w:right="-180"/>
        <w:rPr>
          <w:rFonts w:ascii="Tahoma" w:hAnsi="Tahoma" w:cs="Tahoma"/>
          <w:bCs/>
          <w:sz w:val="21"/>
          <w:szCs w:val="21"/>
        </w:rPr>
      </w:pPr>
    </w:p>
    <w:p w:rsidR="004E1ADF" w:rsidRPr="00AE04DA" w:rsidRDefault="004E1ADF" w:rsidP="004E1ADF">
      <w:pPr>
        <w:jc w:val="both"/>
        <w:rPr>
          <w:rFonts w:ascii="Tahoma" w:hAnsi="Tahoma" w:cs="Tahoma"/>
          <w:sz w:val="20"/>
          <w:szCs w:val="20"/>
        </w:rPr>
      </w:pPr>
      <w:r w:rsidRPr="00AE04DA">
        <w:rPr>
          <w:rFonts w:ascii="Tahoma" w:hAnsi="Tahoma" w:cs="Tahoma"/>
          <w:sz w:val="20"/>
          <w:szCs w:val="20"/>
        </w:rPr>
        <w:t xml:space="preserve">CHAIRMAN </w:t>
      </w:r>
      <w:r>
        <w:rPr>
          <w:rFonts w:ascii="Tahoma" w:hAnsi="Tahoma" w:cs="Tahoma"/>
          <w:sz w:val="20"/>
          <w:szCs w:val="20"/>
        </w:rPr>
        <w:t>-</w:t>
      </w:r>
      <w:r w:rsidRPr="00AE04DA">
        <w:rPr>
          <w:rFonts w:ascii="Tahoma" w:hAnsi="Tahoma" w:cs="Tahoma"/>
          <w:sz w:val="20"/>
          <w:szCs w:val="20"/>
        </w:rPr>
        <w:t>PROCUREMENT COMMITTEE</w:t>
      </w:r>
    </w:p>
    <w:p w:rsidR="004E1ADF" w:rsidRPr="00AE04DA" w:rsidRDefault="004E1ADF" w:rsidP="004E1ADF">
      <w:pPr>
        <w:jc w:val="both"/>
        <w:rPr>
          <w:rFonts w:ascii="Tahoma" w:hAnsi="Tahoma" w:cs="Tahoma"/>
          <w:sz w:val="20"/>
          <w:szCs w:val="20"/>
        </w:rPr>
      </w:pPr>
      <w:r w:rsidRPr="00AE04DA">
        <w:rPr>
          <w:rFonts w:ascii="Tahoma" w:hAnsi="Tahoma" w:cs="Tahoma"/>
          <w:sz w:val="20"/>
          <w:szCs w:val="20"/>
        </w:rPr>
        <w:t>STATE PHARMACEUTICALS CORPORATION OF SRI LANKA</w:t>
      </w:r>
    </w:p>
    <w:p w:rsidR="004E1ADF" w:rsidRPr="00AE04DA" w:rsidRDefault="004E1ADF" w:rsidP="004E1ADF">
      <w:pPr>
        <w:jc w:val="both"/>
        <w:rPr>
          <w:rFonts w:ascii="Tahoma" w:hAnsi="Tahoma" w:cs="Tahoma"/>
          <w:sz w:val="20"/>
          <w:szCs w:val="20"/>
        </w:rPr>
      </w:pPr>
      <w:r w:rsidRPr="00AE04DA">
        <w:rPr>
          <w:rFonts w:ascii="Tahoma" w:hAnsi="Tahoma" w:cs="Tahoma"/>
          <w:sz w:val="20"/>
          <w:szCs w:val="20"/>
        </w:rPr>
        <w:t xml:space="preserve"> 75, SIR BARON JAYATILLAKE MAWATHA</w:t>
      </w:r>
    </w:p>
    <w:p w:rsidR="004E1ADF" w:rsidRPr="00AE04DA" w:rsidRDefault="004E1ADF" w:rsidP="004E1ADF">
      <w:pPr>
        <w:jc w:val="both"/>
        <w:rPr>
          <w:rFonts w:ascii="Tahoma" w:hAnsi="Tahoma" w:cs="Tahoma"/>
          <w:sz w:val="20"/>
          <w:szCs w:val="20"/>
        </w:rPr>
      </w:pPr>
      <w:r w:rsidRPr="00AE04DA">
        <w:rPr>
          <w:rFonts w:ascii="Tahoma" w:hAnsi="Tahoma" w:cs="Tahoma"/>
          <w:sz w:val="20"/>
          <w:szCs w:val="20"/>
        </w:rPr>
        <w:t>COLOMBO 1</w:t>
      </w:r>
    </w:p>
    <w:p w:rsidR="004E1ADF" w:rsidRPr="00AE04DA" w:rsidRDefault="004E1ADF" w:rsidP="004E1ADF">
      <w:pPr>
        <w:jc w:val="both"/>
        <w:rPr>
          <w:rFonts w:ascii="Tahoma" w:hAnsi="Tahoma" w:cs="Tahoma"/>
          <w:sz w:val="20"/>
          <w:szCs w:val="20"/>
        </w:rPr>
      </w:pPr>
      <w:r w:rsidRPr="00AE04DA">
        <w:rPr>
          <w:rFonts w:ascii="Tahoma" w:hAnsi="Tahoma" w:cs="Tahoma"/>
          <w:sz w:val="20"/>
          <w:szCs w:val="20"/>
        </w:rPr>
        <w:t>SRI LANKA.</w:t>
      </w:r>
    </w:p>
    <w:p w:rsidR="004E1ADF" w:rsidRPr="00AE04DA" w:rsidRDefault="004E1ADF" w:rsidP="004E1ADF">
      <w:pPr>
        <w:jc w:val="both"/>
        <w:rPr>
          <w:rFonts w:ascii="Tahoma" w:hAnsi="Tahoma" w:cs="Tahoma"/>
          <w:sz w:val="20"/>
          <w:szCs w:val="20"/>
        </w:rPr>
      </w:pPr>
    </w:p>
    <w:p w:rsidR="004E1ADF" w:rsidRPr="00AE04DA" w:rsidRDefault="004E1ADF" w:rsidP="004E1ADF">
      <w:pPr>
        <w:jc w:val="both"/>
        <w:rPr>
          <w:rFonts w:ascii="Tahoma" w:hAnsi="Tahoma" w:cs="Tahoma"/>
          <w:sz w:val="20"/>
          <w:szCs w:val="20"/>
        </w:rPr>
      </w:pPr>
      <w:r w:rsidRPr="00AE04DA">
        <w:rPr>
          <w:rFonts w:ascii="Tahoma" w:hAnsi="Tahoma" w:cs="Tahoma"/>
          <w:sz w:val="20"/>
          <w:szCs w:val="20"/>
        </w:rPr>
        <w:t>FAX</w:t>
      </w:r>
      <w:r w:rsidRPr="00AE04DA">
        <w:rPr>
          <w:rFonts w:ascii="Tahoma" w:hAnsi="Tahoma" w:cs="Tahoma"/>
          <w:sz w:val="20"/>
          <w:szCs w:val="20"/>
        </w:rPr>
        <w:tab/>
      </w:r>
      <w:r w:rsidRPr="00AE04DA">
        <w:rPr>
          <w:rFonts w:ascii="Tahoma" w:hAnsi="Tahoma" w:cs="Tahoma"/>
          <w:sz w:val="20"/>
          <w:szCs w:val="20"/>
        </w:rPr>
        <w:tab/>
        <w:t>:  00 94-11- 2344082</w:t>
      </w:r>
    </w:p>
    <w:p w:rsidR="004E1ADF" w:rsidRPr="00AE04DA" w:rsidRDefault="004E1ADF" w:rsidP="004E1ADF">
      <w:pPr>
        <w:jc w:val="both"/>
        <w:rPr>
          <w:rFonts w:ascii="Tahoma" w:hAnsi="Tahoma" w:cs="Tahoma"/>
          <w:sz w:val="20"/>
          <w:szCs w:val="20"/>
        </w:rPr>
      </w:pPr>
      <w:r w:rsidRPr="00AE04DA">
        <w:rPr>
          <w:rFonts w:ascii="Tahoma" w:hAnsi="Tahoma" w:cs="Tahoma"/>
          <w:sz w:val="20"/>
          <w:szCs w:val="20"/>
        </w:rPr>
        <w:t>TELEPHONE</w:t>
      </w:r>
      <w:r w:rsidRPr="00AE04DA">
        <w:rPr>
          <w:rFonts w:ascii="Tahoma" w:hAnsi="Tahoma" w:cs="Tahoma"/>
          <w:sz w:val="20"/>
          <w:szCs w:val="20"/>
        </w:rPr>
        <w:tab/>
        <w:t>:  00 94-11- 2326227/94-11-2335008</w:t>
      </w:r>
    </w:p>
    <w:p w:rsidR="004E1ADF" w:rsidRPr="00AE04DA" w:rsidRDefault="004E1ADF" w:rsidP="004E1ADF">
      <w:pPr>
        <w:jc w:val="both"/>
        <w:rPr>
          <w:rFonts w:ascii="Tahoma" w:hAnsi="Tahoma" w:cs="Tahoma"/>
          <w:sz w:val="20"/>
          <w:szCs w:val="20"/>
        </w:rPr>
      </w:pPr>
      <w:r w:rsidRPr="00AE04DA">
        <w:rPr>
          <w:rFonts w:ascii="Tahoma" w:hAnsi="Tahoma" w:cs="Tahoma"/>
          <w:sz w:val="20"/>
          <w:szCs w:val="20"/>
        </w:rPr>
        <w:t>E-MAIL</w:t>
      </w:r>
      <w:r w:rsidRPr="00AE04DA">
        <w:rPr>
          <w:rFonts w:ascii="Tahoma" w:hAnsi="Tahoma" w:cs="Tahoma"/>
          <w:sz w:val="20"/>
          <w:szCs w:val="20"/>
        </w:rPr>
        <w:tab/>
      </w:r>
      <w:r w:rsidRPr="00AE04DA">
        <w:rPr>
          <w:rFonts w:ascii="Tahoma" w:hAnsi="Tahoma" w:cs="Tahoma"/>
          <w:sz w:val="20"/>
          <w:szCs w:val="20"/>
        </w:rPr>
        <w:tab/>
        <w:t xml:space="preserve">:  </w:t>
      </w:r>
      <w:hyperlink r:id="rId5" w:history="1">
        <w:r w:rsidRPr="00AE04DA">
          <w:rPr>
            <w:rStyle w:val="Hyperlink"/>
            <w:rFonts w:ascii="Tahoma" w:hAnsi="Tahoma" w:cs="Tahoma"/>
            <w:sz w:val="20"/>
            <w:szCs w:val="20"/>
          </w:rPr>
          <w:t>impmanager@spc.lk</w:t>
        </w:r>
      </w:hyperlink>
    </w:p>
    <w:p w:rsidR="004E1ADF" w:rsidRPr="005D6CFC" w:rsidRDefault="004E1ADF" w:rsidP="004E1ADF">
      <w:pPr>
        <w:pStyle w:val="Heading5"/>
        <w:jc w:val="center"/>
        <w:rPr>
          <w:rFonts w:ascii="Tahoma" w:hAnsi="Tahoma" w:cs="Tahoma"/>
          <w:caps/>
          <w:sz w:val="21"/>
          <w:szCs w:val="21"/>
          <w:u w:val="single"/>
        </w:rPr>
      </w:pPr>
    </w:p>
    <w:p w:rsidR="004E1ADF" w:rsidRDefault="004E1ADF" w:rsidP="004E1ADF">
      <w:pPr>
        <w:pStyle w:val="Heading5"/>
        <w:jc w:val="center"/>
        <w:rPr>
          <w:rFonts w:ascii="Tahoma" w:hAnsi="Tahoma" w:cs="Tahoma"/>
          <w:caps/>
          <w:sz w:val="21"/>
          <w:szCs w:val="21"/>
          <w:u w:val="single"/>
        </w:rPr>
      </w:pPr>
    </w:p>
    <w:p w:rsidR="004E1ADF" w:rsidRDefault="004E1ADF" w:rsidP="004E1ADF"/>
    <w:p w:rsidR="004E1ADF" w:rsidRDefault="004E1ADF" w:rsidP="004E1ADF"/>
    <w:p w:rsidR="004E1ADF" w:rsidRDefault="004E1ADF" w:rsidP="004E1ADF"/>
    <w:p w:rsidR="004E1ADF" w:rsidRDefault="004E1ADF" w:rsidP="004E1ADF"/>
    <w:p w:rsidR="004E1ADF" w:rsidRDefault="004E1ADF" w:rsidP="004E1ADF"/>
    <w:p w:rsidR="00FC15DD" w:rsidRDefault="00FC15DD"/>
    <w:sectPr w:rsidR="00FC15DD" w:rsidSect="00FC15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ADF"/>
    <w:rsid w:val="004E1ADF"/>
    <w:rsid w:val="00FC15D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ADF"/>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4E1AD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E1ADF"/>
    <w:rPr>
      <w:rFonts w:ascii="Times New Roman" w:eastAsia="Times New Roman" w:hAnsi="Times New Roman" w:cs="Times New Roman"/>
      <w:b/>
      <w:bCs/>
      <w:i/>
      <w:iCs/>
      <w:sz w:val="26"/>
      <w:szCs w:val="26"/>
      <w:lang w:val="en-US"/>
    </w:rPr>
  </w:style>
  <w:style w:type="paragraph" w:styleId="BodyText">
    <w:name w:val="Body Text"/>
    <w:basedOn w:val="Normal"/>
    <w:link w:val="BodyTextChar"/>
    <w:rsid w:val="004E1ADF"/>
    <w:pPr>
      <w:jc w:val="both"/>
    </w:pPr>
  </w:style>
  <w:style w:type="character" w:customStyle="1" w:styleId="BodyTextChar">
    <w:name w:val="Body Text Char"/>
    <w:basedOn w:val="DefaultParagraphFont"/>
    <w:link w:val="BodyText"/>
    <w:rsid w:val="004E1ADF"/>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4E1ADF"/>
    <w:pPr>
      <w:jc w:val="both"/>
    </w:pPr>
    <w:rPr>
      <w:sz w:val="22"/>
    </w:rPr>
  </w:style>
  <w:style w:type="character" w:customStyle="1" w:styleId="BodyText2Char">
    <w:name w:val="Body Text 2 Char"/>
    <w:basedOn w:val="DefaultParagraphFont"/>
    <w:link w:val="BodyText2"/>
    <w:semiHidden/>
    <w:rsid w:val="004E1ADF"/>
    <w:rPr>
      <w:rFonts w:ascii="Times New Roman" w:eastAsia="Times New Roman" w:hAnsi="Times New Roman" w:cs="Times New Roman"/>
      <w:szCs w:val="24"/>
      <w:lang w:val="en-US"/>
    </w:rPr>
  </w:style>
  <w:style w:type="paragraph" w:styleId="ListParagraph">
    <w:name w:val="List Paragraph"/>
    <w:basedOn w:val="Normal"/>
    <w:uiPriority w:val="34"/>
    <w:qFormat/>
    <w:rsid w:val="004E1ADF"/>
    <w:pPr>
      <w:ind w:left="720"/>
      <w:contextualSpacing/>
    </w:pPr>
  </w:style>
  <w:style w:type="character" w:styleId="Hyperlink">
    <w:name w:val="Hyperlink"/>
    <w:rsid w:val="004E1ADF"/>
    <w:rPr>
      <w:color w:val="0000FF"/>
      <w:u w:val="single"/>
    </w:rPr>
  </w:style>
  <w:style w:type="table" w:styleId="TableGrid">
    <w:name w:val="Table Grid"/>
    <w:basedOn w:val="TableNormal"/>
    <w:uiPriority w:val="59"/>
    <w:rsid w:val="004E1AD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1ADF"/>
    <w:pPr>
      <w:spacing w:after="0" w:line="240" w:lineRule="auto"/>
    </w:pPr>
    <w:rPr>
      <w:lang w:val="en-US"/>
    </w:rPr>
  </w:style>
  <w:style w:type="paragraph" w:styleId="BalloonText">
    <w:name w:val="Balloon Text"/>
    <w:basedOn w:val="Normal"/>
    <w:link w:val="BalloonTextChar"/>
    <w:uiPriority w:val="99"/>
    <w:semiHidden/>
    <w:unhideWhenUsed/>
    <w:rsid w:val="004E1ADF"/>
    <w:rPr>
      <w:rFonts w:ascii="Tahoma" w:hAnsi="Tahoma" w:cs="Tahoma"/>
      <w:sz w:val="16"/>
      <w:szCs w:val="16"/>
    </w:rPr>
  </w:style>
  <w:style w:type="character" w:customStyle="1" w:styleId="BalloonTextChar">
    <w:name w:val="Balloon Text Char"/>
    <w:basedOn w:val="DefaultParagraphFont"/>
    <w:link w:val="BalloonText"/>
    <w:uiPriority w:val="99"/>
    <w:semiHidden/>
    <w:rsid w:val="004E1AD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mpmanager@spc.l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2111</Characters>
  <Application>Microsoft Office Word</Application>
  <DocSecurity>0</DocSecurity>
  <Lines>17</Lines>
  <Paragraphs>4</Paragraphs>
  <ScaleCrop>false</ScaleCrop>
  <Company>Hewlett-Packard Company</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Nilan</cp:lastModifiedBy>
  <cp:revision>1</cp:revision>
  <dcterms:created xsi:type="dcterms:W3CDTF">2015-03-25T02:27:00Z</dcterms:created>
  <dcterms:modified xsi:type="dcterms:W3CDTF">2015-03-25T02:27:00Z</dcterms:modified>
</cp:coreProperties>
</file>