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750" w:rsidRDefault="00F74DC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257175</wp:posOffset>
                </wp:positionH>
                <wp:positionV relativeFrom="paragraph">
                  <wp:posOffset>47625</wp:posOffset>
                </wp:positionV>
                <wp:extent cx="5638800" cy="5591175"/>
                <wp:effectExtent l="9525" t="9525" r="9525" b="9525"/>
                <wp:wrapThrough wrapText="bothSides">
                  <wp:wrapPolygon edited="0">
                    <wp:start x="-39" y="-49"/>
                    <wp:lineTo x="-39" y="21551"/>
                    <wp:lineTo x="21639" y="21551"/>
                    <wp:lineTo x="21639" y="-49"/>
                    <wp:lineTo x="-39" y="-49"/>
                  </wp:wrapPolygon>
                </wp:wrapThrough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8800" cy="559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A1F" w:rsidRPr="00EF4A1F" w:rsidRDefault="00EF4A1F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EF4A1F">
                              <w:rPr>
                                <w:rFonts w:asciiTheme="majorHAnsi" w:hAnsiTheme="majorHAnsi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>
                                  <wp:extent cx="866775" cy="647700"/>
                                  <wp:effectExtent l="19050" t="0" r="9525" b="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677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  <w:p w:rsidR="00EF4A1F" w:rsidRDefault="00EF4A1F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</w:pPr>
                            <w:r w:rsidRPr="00EF4A1F">
                              <w:rPr>
                                <w:rFonts w:asciiTheme="majorHAnsi" w:hAnsiTheme="majorHAnsi"/>
                                <w:b/>
                                <w:sz w:val="36"/>
                                <w:szCs w:val="36"/>
                              </w:rPr>
                              <w:t>State Pharmaceuticals Corporation of Sri Lanka</w:t>
                            </w:r>
                          </w:p>
                          <w:p w:rsidR="00EF4A1F" w:rsidRPr="00EF4A1F" w:rsidRDefault="00616877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EXTEN</w:t>
                            </w:r>
                            <w:r w:rsidR="000F5EB7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S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 xml:space="preserve">ION    </w:t>
                            </w:r>
                            <w:r w:rsidR="00EF4A1F" w:rsidRPr="00EF4A1F">
                              <w:rPr>
                                <w:rFonts w:asciiTheme="majorHAnsi" w:hAnsiTheme="majorHAnsi"/>
                                <w:b/>
                                <w:sz w:val="56"/>
                                <w:szCs w:val="56"/>
                              </w:rPr>
                              <w:t>NOTICE</w:t>
                            </w:r>
                          </w:p>
                          <w:p w:rsidR="00EF4A1F" w:rsidRPr="00EF4A1F" w:rsidRDefault="00EF4A1F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4A1F" w:rsidRPr="00EF4A1F" w:rsidRDefault="00EF4A1F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EF4A1F" w:rsidRDefault="00EF4A1F" w:rsidP="00EF4A1F">
                            <w:pPr>
                              <w:jc w:val="center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442318" w:rsidRDefault="00442318" w:rsidP="00EF4A1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</w:p>
                          <w:p w:rsidR="00442318" w:rsidRPr="001065B0" w:rsidRDefault="001065B0" w:rsidP="00EF4A1F">
                            <w:pPr>
                              <w:spacing w:after="0"/>
                              <w:jc w:val="both"/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Reference the advertisement in “Sunday Observer” on  26</w:t>
                            </w:r>
                            <w:r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July 2015 &amp; SPC website with regard to the prequalification of suppliers, considering the requests made by </w:t>
                            </w:r>
                            <w:r w:rsidR="00230371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the</w:t>
                            </w:r>
                            <w:r w:rsidR="00063E33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suppliers, the final date of submission of prequalification documents has been extended up to</w:t>
                            </w:r>
                            <w:r w:rsidR="00494BC0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2.00 pm on</w:t>
                            </w:r>
                            <w:r w:rsidR="00063E33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5258E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28</w:t>
                            </w:r>
                            <w:r w:rsidR="0055258E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55258E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October 2015</w:t>
                            </w:r>
                            <w:r w:rsidR="00063E33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 Please note that no further extension</w:t>
                            </w:r>
                            <w:r w:rsidR="003F0989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s</w:t>
                            </w:r>
                            <w:r w:rsidR="00063E33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would be granted</w:t>
                            </w:r>
                            <w:r w:rsidR="00B4121F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.</w:t>
                            </w:r>
                            <w:r w:rsidR="00063E33" w:rsidRPr="001065B0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4121F" w:rsidRDefault="00B4121F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</w:p>
                          <w:p w:rsidR="00EF4A1F" w:rsidRPr="00EF4A1F" w:rsidRDefault="00EF4A1F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EF4A1F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Chairman</w:t>
                            </w:r>
                          </w:p>
                          <w:p w:rsidR="00EF4A1F" w:rsidRPr="00EF4A1F" w:rsidRDefault="00EF4A1F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</w:pPr>
                            <w:r w:rsidRPr="00EF4A1F">
                              <w:rPr>
                                <w:rFonts w:asciiTheme="majorHAnsi" w:hAnsiTheme="majorHAnsi"/>
                                <w:b/>
                                <w:sz w:val="26"/>
                                <w:szCs w:val="26"/>
                              </w:rPr>
                              <w:t>STATE PHARMACEUTICALS CORPORATION</w:t>
                            </w:r>
                          </w:p>
                          <w:p w:rsidR="00EF4A1F" w:rsidRPr="00442318" w:rsidRDefault="00EF4A1F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442318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75, Sir Baron Jayatil</w:t>
                            </w:r>
                            <w:r w:rsidR="00B4121F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le</w:t>
                            </w:r>
                            <w:r w:rsidRPr="00442318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ke Mawatha</w:t>
                            </w:r>
                          </w:p>
                          <w:p w:rsidR="00EF4A1F" w:rsidRPr="00442318" w:rsidRDefault="00EF4A1F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442318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Colombo 01</w:t>
                            </w:r>
                          </w:p>
                          <w:p w:rsidR="00442318" w:rsidRPr="00442318" w:rsidRDefault="00442318" w:rsidP="00442318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442318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www.spc.lk</w:t>
                            </w:r>
                          </w:p>
                          <w:p w:rsidR="00EF4A1F" w:rsidRPr="00442318" w:rsidRDefault="00EF4A1F" w:rsidP="00EF4A1F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.25pt;margin-top:3.75pt;width:444pt;height:44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">
                <v:textbox>
                  <w:txbxContent>
                    <w:p w:rsidR="00EF4A1F" w:rsidRPr="00EF4A1F" w:rsidRDefault="00EF4A1F" w:rsidP="00EF4A1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EF4A1F">
                        <w:rPr>
                          <w:rFonts w:asciiTheme="majorHAnsi" w:hAnsiTheme="majorHAnsi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866775" cy="647700"/>
                            <wp:effectExtent l="19050" t="0" r="9525" b="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677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  <w:p w:rsidR="00EF4A1F" w:rsidRDefault="00EF4A1F" w:rsidP="00EF4A1F">
                      <w:pPr>
                        <w:jc w:val="center"/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</w:pPr>
                      <w:r w:rsidRPr="00EF4A1F">
                        <w:rPr>
                          <w:rFonts w:asciiTheme="majorHAnsi" w:hAnsiTheme="majorHAnsi"/>
                          <w:b/>
                          <w:sz w:val="36"/>
                          <w:szCs w:val="36"/>
                        </w:rPr>
                        <w:t>State Pharmaceuticals Corporation of Sri Lanka</w:t>
                      </w:r>
                    </w:p>
                    <w:p w:rsidR="00EF4A1F" w:rsidRPr="00EF4A1F" w:rsidRDefault="00616877" w:rsidP="00EF4A1F">
                      <w:pPr>
                        <w:jc w:val="center"/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EXTEN</w:t>
                      </w:r>
                      <w:r w:rsidR="000F5EB7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S</w:t>
                      </w:r>
                      <w:r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 xml:space="preserve">ION    </w:t>
                      </w:r>
                      <w:r w:rsidR="00EF4A1F" w:rsidRPr="00EF4A1F">
                        <w:rPr>
                          <w:rFonts w:asciiTheme="majorHAnsi" w:hAnsiTheme="majorHAnsi"/>
                          <w:b/>
                          <w:sz w:val="56"/>
                          <w:szCs w:val="56"/>
                        </w:rPr>
                        <w:t>NOTICE</w:t>
                      </w:r>
                    </w:p>
                    <w:p w:rsidR="00EF4A1F" w:rsidRPr="00EF4A1F" w:rsidRDefault="00EF4A1F" w:rsidP="00EF4A1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4A1F" w:rsidRPr="00EF4A1F" w:rsidRDefault="00EF4A1F" w:rsidP="00EF4A1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EF4A1F" w:rsidRDefault="00EF4A1F" w:rsidP="00EF4A1F">
                      <w:pPr>
                        <w:jc w:val="center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442318" w:rsidRDefault="00442318" w:rsidP="00EF4A1F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</w:p>
                    <w:p w:rsidR="00442318" w:rsidRPr="001065B0" w:rsidRDefault="001065B0" w:rsidP="00EF4A1F">
                      <w:pPr>
                        <w:spacing w:after="0"/>
                        <w:jc w:val="both"/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Reference the advertisement in “Sunday Observer” on  26</w:t>
                      </w:r>
                      <w:r w:rsidRPr="001065B0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July 2015 &amp; SPC website with regard to the prequalification of suppliers, considering the requests made by </w:t>
                      </w:r>
                      <w:r w:rsidR="00230371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the</w:t>
                      </w:r>
                      <w:r w:rsidR="00063E33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suppliers, the final date of submission of prequalification documents has been extended up to</w:t>
                      </w:r>
                      <w:r w:rsidR="00494BC0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2.00 pm on</w:t>
                      </w:r>
                      <w:r w:rsidR="00063E33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="0055258E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28</w:t>
                      </w:r>
                      <w:r w:rsidR="0055258E" w:rsidRPr="001065B0">
                        <w:rPr>
                          <w:rFonts w:asciiTheme="majorHAnsi" w:hAnsiTheme="majorHAns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55258E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October 2015</w:t>
                      </w:r>
                      <w:r w:rsidR="00063E33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 Please note that no further extension</w:t>
                      </w:r>
                      <w:r w:rsidR="003F0989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s</w:t>
                      </w:r>
                      <w:r w:rsidR="00063E33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would be granted</w:t>
                      </w:r>
                      <w:r w:rsidR="00B4121F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>.</w:t>
                      </w:r>
                      <w:r w:rsidR="00063E33" w:rsidRPr="001065B0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</w:p>
                    <w:p w:rsidR="00B4121F" w:rsidRDefault="00B4121F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</w:p>
                    <w:p w:rsidR="00EF4A1F" w:rsidRPr="00EF4A1F" w:rsidRDefault="00EF4A1F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EF4A1F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Chairman</w:t>
                      </w:r>
                    </w:p>
                    <w:p w:rsidR="00EF4A1F" w:rsidRPr="00EF4A1F" w:rsidRDefault="00EF4A1F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</w:pPr>
                      <w:r w:rsidRPr="00EF4A1F">
                        <w:rPr>
                          <w:rFonts w:asciiTheme="majorHAnsi" w:hAnsiTheme="majorHAnsi"/>
                          <w:b/>
                          <w:sz w:val="26"/>
                          <w:szCs w:val="26"/>
                        </w:rPr>
                        <w:t>STATE PHARMACEUTICALS CORPORATION</w:t>
                      </w:r>
                    </w:p>
                    <w:p w:rsidR="00EF4A1F" w:rsidRPr="00442318" w:rsidRDefault="00EF4A1F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442318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75, Sir Baron Jayatil</w:t>
                      </w:r>
                      <w:r w:rsidR="00B4121F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le</w:t>
                      </w:r>
                      <w:r w:rsidRPr="00442318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ke Mawatha</w:t>
                      </w:r>
                    </w:p>
                    <w:p w:rsidR="00EF4A1F" w:rsidRPr="00442318" w:rsidRDefault="00EF4A1F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442318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Colombo 01</w:t>
                      </w:r>
                    </w:p>
                    <w:p w:rsidR="00442318" w:rsidRPr="00442318" w:rsidRDefault="00442318" w:rsidP="00442318">
                      <w:pPr>
                        <w:spacing w:after="0" w:line="240" w:lineRule="auto"/>
                        <w:jc w:val="center"/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442318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www.spc.lk</w:t>
                      </w:r>
                    </w:p>
                    <w:p w:rsidR="00EF4A1F" w:rsidRPr="00442318" w:rsidRDefault="00EF4A1F" w:rsidP="00EF4A1F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F74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90170</wp:posOffset>
                </wp:positionV>
                <wp:extent cx="5524500" cy="742950"/>
                <wp:effectExtent l="9525" t="9525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742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B4CF4" w:rsidRPr="001B4CF4" w:rsidRDefault="001B4CF4" w:rsidP="001B4CF4">
                            <w:pPr>
                              <w:spacing w:after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1B4CF4">
                              <w:rPr>
                                <w:b/>
                                <w:sz w:val="32"/>
                                <w:szCs w:val="32"/>
                              </w:rPr>
                              <w:t>PREQUALIFICATION OF SUPPLIERS/MANUFACTURERS OF PHARMACEUTICALS &amp; MEDICAL DEVICES</w:t>
                            </w:r>
                          </w:p>
                          <w:p w:rsidR="00EF4A1F" w:rsidRPr="001B4CF4" w:rsidRDefault="00EF4A1F" w:rsidP="001B4CF4">
                            <w:pPr>
                              <w:rPr>
                                <w:b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4.75pt;margin-top:7.1pt;width:435pt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" filled="f" fillcolor="black [3213]">
                <v:textbox>
                  <w:txbxContent>
                    <w:p w:rsidR="001B4CF4" w:rsidRPr="001B4CF4" w:rsidRDefault="001B4CF4" w:rsidP="001B4CF4">
                      <w:pPr>
                        <w:spacing w:after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1B4CF4">
                        <w:rPr>
                          <w:b/>
                          <w:sz w:val="32"/>
                          <w:szCs w:val="32"/>
                        </w:rPr>
                        <w:t>PREQUALIFICATION OF SUPPLIERS/MANUFACTURERS OF PHARMACEUTICALS &amp; MEDICAL DEVICES</w:t>
                      </w:r>
                    </w:p>
                    <w:p w:rsidR="00EF4A1F" w:rsidRPr="001B4CF4" w:rsidRDefault="00EF4A1F" w:rsidP="001B4CF4">
                      <w:pPr>
                        <w:rPr>
                          <w:b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F1750" w:rsidRDefault="003F1750"/>
    <w:p w:rsidR="003F1750" w:rsidRDefault="003F1750"/>
    <w:p w:rsidR="000F5EB7" w:rsidRDefault="000F5EB7"/>
    <w:p w:rsidR="000F5EB7" w:rsidRDefault="000F5EB7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3F1750" w:rsidRDefault="003F1750"/>
    <w:p w:rsidR="006300DC" w:rsidRDefault="00F74DCD"/>
    <w:sectPr w:rsidR="006300DC" w:rsidSect="00966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07337"/>
    <w:multiLevelType w:val="hybridMultilevel"/>
    <w:tmpl w:val="2C1C7E54"/>
    <w:lvl w:ilvl="0" w:tplc="1AF0E2E6">
      <w:numFmt w:val="bullet"/>
      <w:lvlText w:val="-"/>
      <w:lvlJc w:val="left"/>
      <w:pPr>
        <w:ind w:left="3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abstractNum w:abstractNumId="1">
    <w:nsid w:val="62CA2233"/>
    <w:multiLevelType w:val="hybridMultilevel"/>
    <w:tmpl w:val="89A26E94"/>
    <w:lvl w:ilvl="0" w:tplc="A4085E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0E37924"/>
    <w:multiLevelType w:val="hybridMultilevel"/>
    <w:tmpl w:val="0592096C"/>
    <w:lvl w:ilvl="0" w:tplc="5ED45C58">
      <w:numFmt w:val="bullet"/>
      <w:lvlText w:val="-"/>
      <w:lvlJc w:val="left"/>
      <w:pPr>
        <w:ind w:left="3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1F"/>
    <w:rsid w:val="00063E33"/>
    <w:rsid w:val="000F5898"/>
    <w:rsid w:val="000F5EB7"/>
    <w:rsid w:val="001065B0"/>
    <w:rsid w:val="00120841"/>
    <w:rsid w:val="00131DD8"/>
    <w:rsid w:val="00184C9B"/>
    <w:rsid w:val="001B1DD9"/>
    <w:rsid w:val="001B4CF4"/>
    <w:rsid w:val="002107B2"/>
    <w:rsid w:val="00230371"/>
    <w:rsid w:val="00252597"/>
    <w:rsid w:val="00392610"/>
    <w:rsid w:val="003F0989"/>
    <w:rsid w:val="003F1750"/>
    <w:rsid w:val="00442318"/>
    <w:rsid w:val="00494BC0"/>
    <w:rsid w:val="004A7F4C"/>
    <w:rsid w:val="004F3F26"/>
    <w:rsid w:val="00542C54"/>
    <w:rsid w:val="0055258E"/>
    <w:rsid w:val="00556152"/>
    <w:rsid w:val="005D1183"/>
    <w:rsid w:val="00616877"/>
    <w:rsid w:val="006D4D37"/>
    <w:rsid w:val="007B3971"/>
    <w:rsid w:val="007E7E54"/>
    <w:rsid w:val="009215C8"/>
    <w:rsid w:val="00966695"/>
    <w:rsid w:val="00987870"/>
    <w:rsid w:val="00991065"/>
    <w:rsid w:val="00A25802"/>
    <w:rsid w:val="00A5753F"/>
    <w:rsid w:val="00A92258"/>
    <w:rsid w:val="00B4121F"/>
    <w:rsid w:val="00B777D3"/>
    <w:rsid w:val="00BF446F"/>
    <w:rsid w:val="00C946CC"/>
    <w:rsid w:val="00CD5F2B"/>
    <w:rsid w:val="00CE0E7B"/>
    <w:rsid w:val="00D002D5"/>
    <w:rsid w:val="00DC70D5"/>
    <w:rsid w:val="00ED2B15"/>
    <w:rsid w:val="00EF4A1F"/>
    <w:rsid w:val="00F12233"/>
    <w:rsid w:val="00F62C5C"/>
    <w:rsid w:val="00F74DCD"/>
    <w:rsid w:val="00FE27DF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8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si-LK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4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A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1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C50BF4-AC3E-4ACE-B1DD-384335629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nimali</dc:creator>
  <cp:lastModifiedBy>spc</cp:lastModifiedBy>
  <cp:revision>2</cp:revision>
  <cp:lastPrinted>2015-09-02T07:02:00Z</cp:lastPrinted>
  <dcterms:created xsi:type="dcterms:W3CDTF">2015-09-02T08:53:00Z</dcterms:created>
  <dcterms:modified xsi:type="dcterms:W3CDTF">2015-09-02T08:53:00Z</dcterms:modified>
</cp:coreProperties>
</file>