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26" w:rsidRDefault="00C20A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-219075</wp:posOffset>
                </wp:positionV>
                <wp:extent cx="5695950" cy="49815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98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717" w:rsidRDefault="00A87717" w:rsidP="00A87717">
                            <w:pPr>
                              <w:jc w:val="center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036A1" wp14:editId="01DC9868">
                                  <wp:extent cx="981075" cy="63817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0A30" w:rsidRPr="00A87717" w:rsidRDefault="00C20A30" w:rsidP="00A87717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32"/>
                                <w:szCs w:val="32"/>
                              </w:rPr>
                            </w:pPr>
                            <w:r w:rsidRPr="00A87717">
                              <w:rPr>
                                <w:rFonts w:ascii="Perpetua" w:hAnsi="Perpetua"/>
                                <w:b/>
                                <w:sz w:val="32"/>
                                <w:szCs w:val="32"/>
                              </w:rPr>
                              <w:t>Extension of Registration Certificates issued by National Medicines Regulatory Authority</w:t>
                            </w:r>
                          </w:p>
                          <w:p w:rsidR="00C20A30" w:rsidRPr="00A87717" w:rsidRDefault="00C20A30" w:rsidP="00A87717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0A30" w:rsidRPr="00EF3F58" w:rsidRDefault="00F705C4" w:rsidP="0017582F">
                            <w:pPr>
                              <w:jc w:val="both"/>
                              <w:rPr>
                                <w:rFonts w:ascii="Perpetua" w:hAnsi="Perpet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F3F58">
                              <w:rPr>
                                <w:rFonts w:ascii="Perpetua" w:hAnsi="Perpet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This notice is for the attention of all the suppliers/local agents who </w:t>
                            </w:r>
                            <w:r w:rsidR="00EF3F58">
                              <w:rPr>
                                <w:rFonts w:ascii="Perpetua" w:hAnsi="Perpet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quoted / will quote </w:t>
                            </w:r>
                            <w:proofErr w:type="gramStart"/>
                            <w:r w:rsidR="00EF3F58">
                              <w:rPr>
                                <w:rFonts w:ascii="Perpetua" w:hAnsi="Perpet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EF3F58">
                              <w:rPr>
                                <w:rFonts w:ascii="Perpetua" w:hAnsi="Perpet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582F" w:rsidRPr="00EF3F58">
                              <w:rPr>
                                <w:rFonts w:ascii="Perpetua" w:hAnsi="Perpetua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17582F" w:rsidRPr="00EF3F58">
                              <w:rPr>
                                <w:rFonts w:ascii="Perpetua" w:hAnsi="Perpet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3F58">
                              <w:rPr>
                                <w:rFonts w:ascii="Perpetua" w:hAnsi="Perpet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products </w:t>
                            </w:r>
                            <w:r w:rsidR="00EF3F58">
                              <w:rPr>
                                <w:rFonts w:ascii="Perpetua" w:hAnsi="Perpetua"/>
                                <w:b/>
                                <w:i/>
                                <w:sz w:val="28"/>
                                <w:szCs w:val="28"/>
                              </w:rPr>
                              <w:t>published by</w:t>
                            </w:r>
                            <w:r w:rsidRPr="00EF3F58">
                              <w:rPr>
                                <w:rFonts w:ascii="Perpetua" w:hAnsi="Perpet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SPC</w:t>
                            </w:r>
                            <w:r w:rsidR="00EF3F58">
                              <w:rPr>
                                <w:rFonts w:ascii="Perpetua" w:hAnsi="Perpet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with expired NMRA registration</w:t>
                            </w:r>
                            <w:r w:rsidRPr="00EF3F58">
                              <w:rPr>
                                <w:rFonts w:ascii="Perpetua" w:hAnsi="Perpet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C20A30" w:rsidRPr="00A87717" w:rsidRDefault="00C20A30" w:rsidP="0017582F">
                            <w:pPr>
                              <w:jc w:val="both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As per the NMRA  notice published</w:t>
                            </w:r>
                            <w:r w:rsidR="00A87717"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on 21.05.2021 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at the</w:t>
                            </w:r>
                            <w:r w:rsidR="00F705C4"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ir 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website under the caption of</w:t>
                            </w:r>
                            <w:r w:rsidR="00F705C4"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’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Extension of Certificates of registration, import licenses &amp; manufacturing licenses</w:t>
                            </w:r>
                            <w:r w:rsidR="00F705C4"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’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,  validity of the </w:t>
                            </w:r>
                            <w:r w:rsidR="00A87717"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NMRA 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certificates of registration </w:t>
                            </w:r>
                            <w:r w:rsidR="0017582F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has been 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extended </w:t>
                            </w:r>
                            <w:r w:rsidR="00F705C4"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with the conditions  mentioned in the particular notice. </w:t>
                            </w:r>
                          </w:p>
                          <w:p w:rsidR="0017582F" w:rsidRDefault="00F705C4" w:rsidP="0017582F">
                            <w:pPr>
                              <w:jc w:val="both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Adhering to the NMRA instructions</w:t>
                            </w:r>
                            <w:r w:rsidR="00A87717"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 proof documents to show that you have submitted the renewal application to NMRA</w:t>
                            </w:r>
                            <w:proofErr w:type="gramStart"/>
                            <w:r w:rsidR="00A87717"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should</w:t>
                            </w:r>
                            <w:proofErr w:type="gramEnd"/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be attached to the </w:t>
                            </w:r>
                            <w:r w:rsidR="001A38FD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quotation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 for future tenders </w:t>
                            </w:r>
                            <w:r w:rsidR="00A87717"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published by SPC 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and if you have not submitted </w:t>
                            </w:r>
                            <w:r w:rsidR="00A87717"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same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for past tender</w:t>
                            </w:r>
                            <w:r w:rsidR="00A87717"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s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, please submit</w:t>
                            </w:r>
                            <w:r w:rsidR="0017582F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or email (</w:t>
                            </w:r>
                            <w:hyperlink r:id="rId6" w:history="1">
                              <w:r w:rsidR="0017582F" w:rsidRPr="00970306">
                                <w:rPr>
                                  <w:rStyle w:val="Hyperlink"/>
                                  <w:rFonts w:ascii="Perpetua" w:hAnsi="Perpetua"/>
                                  <w:sz w:val="28"/>
                                  <w:szCs w:val="28"/>
                                </w:rPr>
                                <w:t>stenotech@spc.lk</w:t>
                              </w:r>
                            </w:hyperlink>
                            <w:r w:rsidR="0017582F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those</w:t>
                            </w:r>
                            <w:r w:rsidR="001A38FD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with the tender reference 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to the  Technical Dept. of </w:t>
                            </w:r>
                            <w:r w:rsidR="0017582F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SPC. </w:t>
                            </w:r>
                            <w:r w:rsidR="00A87717" w:rsidRPr="00A8771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-17.25pt;width:448.5pt;height:3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" fillcolor="white [3201]" strokeweight="2.25pt">
                <v:textbox>
                  <w:txbxContent>
                    <w:p w:rsidR="00A87717" w:rsidRDefault="00A87717" w:rsidP="00A87717">
                      <w:pPr>
                        <w:jc w:val="center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F2036A1" wp14:editId="01DC9868">
                            <wp:extent cx="981075" cy="63817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0A30" w:rsidRPr="00A87717" w:rsidRDefault="00C20A30" w:rsidP="00A87717">
                      <w:pPr>
                        <w:jc w:val="center"/>
                        <w:rPr>
                          <w:rFonts w:ascii="Perpetua" w:hAnsi="Perpetua"/>
                          <w:b/>
                          <w:sz w:val="32"/>
                          <w:szCs w:val="32"/>
                        </w:rPr>
                      </w:pPr>
                      <w:r w:rsidRPr="00A87717">
                        <w:rPr>
                          <w:rFonts w:ascii="Perpetua" w:hAnsi="Perpetua"/>
                          <w:b/>
                          <w:sz w:val="32"/>
                          <w:szCs w:val="32"/>
                        </w:rPr>
                        <w:t>Extension of Registration Certificates issued by National Medicines Regulatory Authority</w:t>
                      </w:r>
                    </w:p>
                    <w:p w:rsidR="00C20A30" w:rsidRPr="00A87717" w:rsidRDefault="00C20A30" w:rsidP="00A87717">
                      <w:pPr>
                        <w:jc w:val="center"/>
                        <w:rPr>
                          <w:rFonts w:ascii="Perpetua" w:hAnsi="Perpetua"/>
                          <w:b/>
                          <w:sz w:val="32"/>
                          <w:szCs w:val="32"/>
                        </w:rPr>
                      </w:pPr>
                    </w:p>
                    <w:p w:rsidR="00C20A30" w:rsidRPr="00EF3F58" w:rsidRDefault="00F705C4" w:rsidP="0017582F">
                      <w:pPr>
                        <w:jc w:val="both"/>
                        <w:rPr>
                          <w:rFonts w:ascii="Perpetua" w:hAnsi="Perpetua"/>
                          <w:b/>
                          <w:i/>
                          <w:sz w:val="28"/>
                          <w:szCs w:val="28"/>
                        </w:rPr>
                      </w:pPr>
                      <w:r w:rsidRPr="00EF3F58">
                        <w:rPr>
                          <w:rFonts w:ascii="Perpetua" w:hAnsi="Perpetua"/>
                          <w:b/>
                          <w:i/>
                          <w:sz w:val="28"/>
                          <w:szCs w:val="28"/>
                        </w:rPr>
                        <w:t xml:space="preserve">This notice is for the attention of all the suppliers/local agents who </w:t>
                      </w:r>
                      <w:r w:rsidR="00EF3F58">
                        <w:rPr>
                          <w:rFonts w:ascii="Perpetua" w:hAnsi="Perpetua"/>
                          <w:b/>
                          <w:i/>
                          <w:sz w:val="28"/>
                          <w:szCs w:val="28"/>
                        </w:rPr>
                        <w:t xml:space="preserve">quoted / will quote </w:t>
                      </w:r>
                      <w:proofErr w:type="gramStart"/>
                      <w:r w:rsidR="00EF3F58">
                        <w:rPr>
                          <w:rFonts w:ascii="Perpetua" w:hAnsi="Perpetua"/>
                          <w:b/>
                          <w:i/>
                          <w:sz w:val="28"/>
                          <w:szCs w:val="28"/>
                        </w:rPr>
                        <w:t xml:space="preserve">for </w:t>
                      </w:r>
                      <w:r w:rsidRPr="00EF3F58">
                        <w:rPr>
                          <w:rFonts w:ascii="Perpetua" w:hAnsi="Perpetu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7582F" w:rsidRPr="00EF3F58">
                        <w:rPr>
                          <w:rFonts w:ascii="Perpetua" w:hAnsi="Perpetua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17582F" w:rsidRPr="00EF3F58">
                        <w:rPr>
                          <w:rFonts w:ascii="Perpetua" w:hAnsi="Perpetu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F3F58">
                        <w:rPr>
                          <w:rFonts w:ascii="Perpetua" w:hAnsi="Perpetua"/>
                          <w:b/>
                          <w:i/>
                          <w:sz w:val="28"/>
                          <w:szCs w:val="28"/>
                        </w:rPr>
                        <w:t xml:space="preserve">products </w:t>
                      </w:r>
                      <w:r w:rsidR="00EF3F58">
                        <w:rPr>
                          <w:rFonts w:ascii="Perpetua" w:hAnsi="Perpetua"/>
                          <w:b/>
                          <w:i/>
                          <w:sz w:val="28"/>
                          <w:szCs w:val="28"/>
                        </w:rPr>
                        <w:t>published by</w:t>
                      </w:r>
                      <w:r w:rsidRPr="00EF3F58">
                        <w:rPr>
                          <w:rFonts w:ascii="Perpetua" w:hAnsi="Perpetua"/>
                          <w:b/>
                          <w:i/>
                          <w:sz w:val="28"/>
                          <w:szCs w:val="28"/>
                        </w:rPr>
                        <w:t xml:space="preserve"> SPC</w:t>
                      </w:r>
                      <w:r w:rsidR="00EF3F58">
                        <w:rPr>
                          <w:rFonts w:ascii="Perpetua" w:hAnsi="Perpetua"/>
                          <w:b/>
                          <w:i/>
                          <w:sz w:val="28"/>
                          <w:szCs w:val="28"/>
                        </w:rPr>
                        <w:t xml:space="preserve"> with expired NMRA registration</w:t>
                      </w:r>
                      <w:r w:rsidRPr="00EF3F58">
                        <w:rPr>
                          <w:rFonts w:ascii="Perpetua" w:hAnsi="Perpetua"/>
                          <w:b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:rsidR="00C20A30" w:rsidRPr="00A87717" w:rsidRDefault="00C20A30" w:rsidP="0017582F">
                      <w:pPr>
                        <w:jc w:val="both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>As per the NMRA  notice published</w:t>
                      </w:r>
                      <w:r w:rsidR="00A87717"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on 21.05.2021 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at the</w:t>
                      </w:r>
                      <w:r w:rsidR="00F705C4"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ir 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website under the caption of</w:t>
                      </w:r>
                      <w:r w:rsidR="00F705C4"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’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>Extension of Certificates of registration, import licenses &amp; manufacturing licenses</w:t>
                      </w:r>
                      <w:r w:rsidR="00F705C4"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>’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,  validity of the </w:t>
                      </w:r>
                      <w:r w:rsidR="00A87717"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NMRA 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certificates of registration </w:t>
                      </w:r>
                      <w:r w:rsidR="0017582F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has been 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extended </w:t>
                      </w:r>
                      <w:r w:rsidR="00F705C4"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with the conditions  mentioned in the particular notice. </w:t>
                      </w:r>
                    </w:p>
                    <w:p w:rsidR="0017582F" w:rsidRDefault="00F705C4" w:rsidP="0017582F">
                      <w:pPr>
                        <w:jc w:val="both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>Adhering to the NMRA instructions</w:t>
                      </w:r>
                      <w:r w:rsidR="00A87717"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,  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 proof documents to show that you have submitted the renewal application to NMRA</w:t>
                      </w:r>
                      <w:proofErr w:type="gramStart"/>
                      <w:r w:rsidR="00A87717"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, 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should</w:t>
                      </w:r>
                      <w:proofErr w:type="gramEnd"/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be attached to the </w:t>
                      </w:r>
                      <w:r w:rsidR="001A38FD">
                        <w:rPr>
                          <w:rFonts w:ascii="Perpetua" w:hAnsi="Perpetua"/>
                          <w:sz w:val="28"/>
                          <w:szCs w:val="28"/>
                        </w:rPr>
                        <w:t>quotation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 for future tenders </w:t>
                      </w:r>
                      <w:r w:rsidR="00A87717"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published by SPC 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and if you have not submitted </w:t>
                      </w:r>
                      <w:r w:rsidR="00A87717"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>same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for past tender</w:t>
                      </w:r>
                      <w:r w:rsidR="00A87717"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>s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>, please submit</w:t>
                      </w:r>
                      <w:r w:rsidR="0017582F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or email (</w:t>
                      </w:r>
                      <w:hyperlink r:id="rId7" w:history="1">
                        <w:r w:rsidR="0017582F" w:rsidRPr="00970306">
                          <w:rPr>
                            <w:rStyle w:val="Hyperlink"/>
                            <w:rFonts w:ascii="Perpetua" w:hAnsi="Perpetua"/>
                            <w:sz w:val="28"/>
                            <w:szCs w:val="28"/>
                          </w:rPr>
                          <w:t>stenotech@spc.lk</w:t>
                        </w:r>
                      </w:hyperlink>
                      <w:r w:rsidR="0017582F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) 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those</w:t>
                      </w:r>
                      <w:r w:rsidR="001A38FD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with the tender reference 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to the  Technical Dept. of </w:t>
                      </w:r>
                      <w:r w:rsidR="0017582F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</w:t>
                      </w:r>
                      <w:r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SPC. </w:t>
                      </w:r>
                      <w:r w:rsidR="00A87717" w:rsidRPr="00A87717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30"/>
    <w:rsid w:val="0017582F"/>
    <w:rsid w:val="001A38FD"/>
    <w:rsid w:val="00574036"/>
    <w:rsid w:val="005F7429"/>
    <w:rsid w:val="00A87717"/>
    <w:rsid w:val="00B37CAB"/>
    <w:rsid w:val="00B56B46"/>
    <w:rsid w:val="00C20A30"/>
    <w:rsid w:val="00EF3F58"/>
    <w:rsid w:val="00F46AA9"/>
    <w:rsid w:val="00F7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notech@spc.l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notech@spc.l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nimali</dc:creator>
  <cp:lastModifiedBy>nimali</cp:lastModifiedBy>
  <cp:revision>4</cp:revision>
  <cp:lastPrinted>2021-08-20T06:00:00Z</cp:lastPrinted>
  <dcterms:created xsi:type="dcterms:W3CDTF">2021-08-20T04:28:00Z</dcterms:created>
  <dcterms:modified xsi:type="dcterms:W3CDTF">2021-08-20T06:26:00Z</dcterms:modified>
</cp:coreProperties>
</file>